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78E7" w:rsidRPr="00595F75" w:rsidRDefault="008C7A02" w:rsidP="00FA51FA">
      <w:pPr>
        <w:jc w:val="center"/>
        <w:rPr>
          <w:rFonts w:ascii="Times New Roman" w:hAnsi="Times New Roman" w:cs="Times New Roman"/>
          <w:b/>
          <w:sz w:val="24"/>
          <w:szCs w:val="24"/>
          <w:u w:val="single"/>
        </w:rPr>
      </w:pPr>
      <w:r w:rsidRPr="00595F75">
        <w:rPr>
          <w:rFonts w:ascii="Times New Roman" w:hAnsi="Times New Roman" w:cs="Times New Roman"/>
          <w:b/>
          <w:sz w:val="24"/>
          <w:szCs w:val="24"/>
          <w:u w:val="single"/>
        </w:rPr>
        <w:t>RBI Circular</w:t>
      </w:r>
      <w:r w:rsidR="00A50C6D" w:rsidRPr="00595F75">
        <w:rPr>
          <w:rFonts w:ascii="Times New Roman" w:hAnsi="Times New Roman" w:cs="Times New Roman"/>
          <w:b/>
          <w:sz w:val="24"/>
          <w:szCs w:val="24"/>
          <w:u w:val="single"/>
        </w:rPr>
        <w:t xml:space="preserve"> </w:t>
      </w:r>
      <w:r w:rsidRPr="00595F75">
        <w:rPr>
          <w:rFonts w:ascii="Times New Roman" w:hAnsi="Times New Roman" w:cs="Times New Roman"/>
          <w:b/>
          <w:sz w:val="24"/>
          <w:szCs w:val="24"/>
          <w:u w:val="single"/>
        </w:rPr>
        <w:t>Consolidation</w:t>
      </w:r>
      <w:r w:rsidR="00FA51FA" w:rsidRPr="00595F75">
        <w:rPr>
          <w:rFonts w:ascii="Times New Roman" w:hAnsi="Times New Roman" w:cs="Times New Roman"/>
          <w:b/>
          <w:sz w:val="24"/>
          <w:szCs w:val="24"/>
          <w:u w:val="single"/>
        </w:rPr>
        <w:t xml:space="preserve"> - </w:t>
      </w:r>
      <w:r w:rsidR="00EA23F4" w:rsidRPr="00595F75">
        <w:rPr>
          <w:rFonts w:ascii="Times New Roman" w:hAnsi="Times New Roman" w:cs="Times New Roman"/>
          <w:b/>
          <w:sz w:val="24"/>
          <w:szCs w:val="24"/>
          <w:u w:val="single"/>
        </w:rPr>
        <w:t>Jul-Dec</w:t>
      </w:r>
      <w:r w:rsidR="00FA51FA" w:rsidRPr="00595F75">
        <w:rPr>
          <w:rFonts w:ascii="Times New Roman" w:hAnsi="Times New Roman" w:cs="Times New Roman"/>
          <w:b/>
          <w:sz w:val="24"/>
          <w:szCs w:val="24"/>
          <w:u w:val="single"/>
        </w:rPr>
        <w:t>’22</w:t>
      </w:r>
    </w:p>
    <w:p w:rsidR="00BA4199" w:rsidRPr="00595F75" w:rsidRDefault="00BA4199" w:rsidP="00BA4199">
      <w:pPr>
        <w:rPr>
          <w:rFonts w:ascii="Times New Roman" w:hAnsi="Times New Roman" w:cs="Times New Roman"/>
          <w:b/>
          <w:sz w:val="24"/>
          <w:szCs w:val="24"/>
          <w:u w:val="single"/>
        </w:rPr>
      </w:pPr>
    </w:p>
    <w:tbl>
      <w:tblPr>
        <w:tblW w:w="9493" w:type="dxa"/>
        <w:tblLook w:val="04A0" w:firstRow="1" w:lastRow="0" w:firstColumn="1" w:lastColumn="0" w:noHBand="0" w:noVBand="1"/>
      </w:tblPr>
      <w:tblGrid>
        <w:gridCol w:w="763"/>
        <w:gridCol w:w="8730"/>
      </w:tblGrid>
      <w:tr w:rsidR="005065B6" w:rsidRPr="005065B6" w:rsidTr="005065B6">
        <w:trPr>
          <w:trHeight w:val="510"/>
        </w:trPr>
        <w:tc>
          <w:tcPr>
            <w:tcW w:w="6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065B6" w:rsidRPr="005065B6" w:rsidRDefault="005065B6" w:rsidP="005065B6">
            <w:pPr>
              <w:spacing w:after="0" w:line="240" w:lineRule="auto"/>
              <w:jc w:val="center"/>
              <w:rPr>
                <w:rFonts w:ascii="Times New Roman" w:eastAsia="Times New Roman" w:hAnsi="Times New Roman" w:cs="Times New Roman"/>
                <w:b/>
                <w:bCs/>
                <w:sz w:val="24"/>
                <w:szCs w:val="24"/>
                <w:lang w:eastAsia="en-IN"/>
              </w:rPr>
            </w:pPr>
            <w:proofErr w:type="spellStart"/>
            <w:r w:rsidRPr="005065B6">
              <w:rPr>
                <w:rFonts w:ascii="Times New Roman" w:eastAsia="Times New Roman" w:hAnsi="Times New Roman" w:cs="Times New Roman"/>
                <w:b/>
                <w:bCs/>
                <w:sz w:val="24"/>
                <w:szCs w:val="24"/>
                <w:lang w:eastAsia="en-IN"/>
              </w:rPr>
              <w:t>S.No</w:t>
            </w:r>
            <w:proofErr w:type="spellEnd"/>
            <w:r w:rsidRPr="005065B6">
              <w:rPr>
                <w:rFonts w:ascii="Times New Roman" w:eastAsia="Times New Roman" w:hAnsi="Times New Roman" w:cs="Times New Roman"/>
                <w:b/>
                <w:bCs/>
                <w:sz w:val="24"/>
                <w:szCs w:val="24"/>
                <w:lang w:eastAsia="en-IN"/>
              </w:rPr>
              <w:t>.</w:t>
            </w:r>
          </w:p>
        </w:tc>
        <w:tc>
          <w:tcPr>
            <w:tcW w:w="8836" w:type="dxa"/>
            <w:tcBorders>
              <w:top w:val="single" w:sz="4" w:space="0" w:color="auto"/>
              <w:left w:val="nil"/>
              <w:bottom w:val="single" w:sz="4" w:space="0" w:color="auto"/>
              <w:right w:val="single" w:sz="4" w:space="0" w:color="auto"/>
            </w:tcBorders>
            <w:shd w:val="clear" w:color="auto" w:fill="auto"/>
            <w:vAlign w:val="center"/>
            <w:hideMark/>
          </w:tcPr>
          <w:p w:rsidR="005065B6" w:rsidRPr="005065B6" w:rsidRDefault="005065B6" w:rsidP="005065B6">
            <w:pPr>
              <w:spacing w:after="0" w:line="240" w:lineRule="auto"/>
              <w:jc w:val="center"/>
              <w:rPr>
                <w:rFonts w:ascii="Times New Roman" w:eastAsia="Times New Roman" w:hAnsi="Times New Roman" w:cs="Times New Roman"/>
                <w:b/>
                <w:bCs/>
                <w:sz w:val="24"/>
                <w:szCs w:val="24"/>
                <w:lang w:eastAsia="en-IN"/>
              </w:rPr>
            </w:pPr>
            <w:r w:rsidRPr="005065B6">
              <w:rPr>
                <w:rFonts w:ascii="Times New Roman" w:eastAsia="Times New Roman" w:hAnsi="Times New Roman" w:cs="Times New Roman"/>
                <w:b/>
                <w:bCs/>
                <w:sz w:val="24"/>
                <w:szCs w:val="24"/>
                <w:lang w:eastAsia="en-IN"/>
              </w:rPr>
              <w:t>RBI Notifications</w:t>
            </w:r>
          </w:p>
        </w:tc>
      </w:tr>
      <w:tr w:rsidR="005065B6" w:rsidRPr="005065B6" w:rsidTr="005065B6">
        <w:trPr>
          <w:trHeight w:val="510"/>
        </w:trPr>
        <w:tc>
          <w:tcPr>
            <w:tcW w:w="657" w:type="dxa"/>
            <w:tcBorders>
              <w:top w:val="nil"/>
              <w:left w:val="single" w:sz="4" w:space="0" w:color="auto"/>
              <w:bottom w:val="single" w:sz="4" w:space="0" w:color="auto"/>
              <w:right w:val="single" w:sz="4" w:space="0" w:color="auto"/>
            </w:tcBorders>
            <w:shd w:val="clear" w:color="auto" w:fill="auto"/>
            <w:noWrap/>
            <w:vAlign w:val="center"/>
            <w:hideMark/>
          </w:tcPr>
          <w:p w:rsidR="005065B6" w:rsidRPr="005065B6" w:rsidRDefault="005065B6" w:rsidP="005065B6">
            <w:pPr>
              <w:spacing w:after="0" w:line="240" w:lineRule="auto"/>
              <w:jc w:val="center"/>
              <w:rPr>
                <w:rFonts w:ascii="Times New Roman" w:eastAsia="Times New Roman" w:hAnsi="Times New Roman" w:cs="Times New Roman"/>
                <w:color w:val="000000"/>
                <w:sz w:val="24"/>
                <w:szCs w:val="24"/>
                <w:lang w:eastAsia="en-IN"/>
              </w:rPr>
            </w:pPr>
            <w:r w:rsidRPr="005065B6">
              <w:rPr>
                <w:rFonts w:ascii="Times New Roman" w:eastAsia="Times New Roman" w:hAnsi="Times New Roman" w:cs="Times New Roman"/>
                <w:color w:val="000000"/>
                <w:sz w:val="24"/>
                <w:szCs w:val="24"/>
                <w:lang w:eastAsia="en-IN"/>
              </w:rPr>
              <w:t>1</w:t>
            </w:r>
          </w:p>
        </w:tc>
        <w:tc>
          <w:tcPr>
            <w:tcW w:w="8836" w:type="dxa"/>
            <w:tcBorders>
              <w:top w:val="nil"/>
              <w:left w:val="nil"/>
              <w:bottom w:val="single" w:sz="4" w:space="0" w:color="auto"/>
              <w:right w:val="single" w:sz="4" w:space="0" w:color="auto"/>
            </w:tcBorders>
            <w:shd w:val="clear" w:color="auto" w:fill="auto"/>
            <w:vAlign w:val="center"/>
            <w:hideMark/>
          </w:tcPr>
          <w:p w:rsidR="005065B6" w:rsidRPr="005065B6" w:rsidRDefault="005065B6" w:rsidP="005065B6">
            <w:pPr>
              <w:spacing w:after="0" w:line="240" w:lineRule="auto"/>
              <w:rPr>
                <w:rFonts w:ascii="Times New Roman" w:eastAsia="Times New Roman" w:hAnsi="Times New Roman" w:cs="Times New Roman"/>
                <w:color w:val="000000"/>
                <w:sz w:val="24"/>
                <w:szCs w:val="24"/>
                <w:lang w:eastAsia="en-IN"/>
              </w:rPr>
            </w:pPr>
            <w:r w:rsidRPr="005065B6">
              <w:rPr>
                <w:rFonts w:ascii="Times New Roman" w:eastAsia="Times New Roman" w:hAnsi="Times New Roman" w:cs="Times New Roman"/>
                <w:color w:val="000000"/>
                <w:sz w:val="24"/>
                <w:szCs w:val="24"/>
                <w:lang w:eastAsia="en-IN"/>
              </w:rPr>
              <w:t>Note Sorting Machines - Authentication and Fitness Sorting Parameters</w:t>
            </w:r>
          </w:p>
        </w:tc>
      </w:tr>
      <w:tr w:rsidR="005065B6" w:rsidRPr="005065B6" w:rsidTr="005065B6">
        <w:trPr>
          <w:trHeight w:val="726"/>
        </w:trPr>
        <w:tc>
          <w:tcPr>
            <w:tcW w:w="657" w:type="dxa"/>
            <w:tcBorders>
              <w:top w:val="nil"/>
              <w:left w:val="single" w:sz="4" w:space="0" w:color="auto"/>
              <w:bottom w:val="single" w:sz="4" w:space="0" w:color="auto"/>
              <w:right w:val="single" w:sz="4" w:space="0" w:color="auto"/>
            </w:tcBorders>
            <w:shd w:val="clear" w:color="auto" w:fill="auto"/>
            <w:noWrap/>
            <w:vAlign w:val="center"/>
            <w:hideMark/>
          </w:tcPr>
          <w:p w:rsidR="005065B6" w:rsidRPr="005065B6" w:rsidRDefault="005065B6" w:rsidP="005065B6">
            <w:pPr>
              <w:spacing w:after="0" w:line="240" w:lineRule="auto"/>
              <w:jc w:val="center"/>
              <w:rPr>
                <w:rFonts w:ascii="Times New Roman" w:eastAsia="Times New Roman" w:hAnsi="Times New Roman" w:cs="Times New Roman"/>
                <w:color w:val="000000"/>
                <w:sz w:val="24"/>
                <w:szCs w:val="24"/>
                <w:lang w:eastAsia="en-IN"/>
              </w:rPr>
            </w:pPr>
            <w:r w:rsidRPr="005065B6">
              <w:rPr>
                <w:rFonts w:ascii="Times New Roman" w:eastAsia="Times New Roman" w:hAnsi="Times New Roman" w:cs="Times New Roman"/>
                <w:color w:val="000000"/>
                <w:sz w:val="24"/>
                <w:szCs w:val="24"/>
                <w:lang w:eastAsia="en-IN"/>
              </w:rPr>
              <w:t>2</w:t>
            </w:r>
          </w:p>
        </w:tc>
        <w:tc>
          <w:tcPr>
            <w:tcW w:w="8836" w:type="dxa"/>
            <w:tcBorders>
              <w:top w:val="nil"/>
              <w:left w:val="nil"/>
              <w:bottom w:val="single" w:sz="4" w:space="0" w:color="auto"/>
              <w:right w:val="single" w:sz="4" w:space="0" w:color="auto"/>
            </w:tcBorders>
            <w:shd w:val="clear" w:color="auto" w:fill="auto"/>
            <w:vAlign w:val="center"/>
            <w:hideMark/>
          </w:tcPr>
          <w:p w:rsidR="005065B6" w:rsidRPr="005065B6" w:rsidRDefault="005065B6" w:rsidP="005065B6">
            <w:pPr>
              <w:spacing w:after="0" w:line="240" w:lineRule="auto"/>
              <w:rPr>
                <w:rFonts w:ascii="Times New Roman" w:eastAsia="Times New Roman" w:hAnsi="Times New Roman" w:cs="Times New Roman"/>
                <w:color w:val="000000"/>
                <w:sz w:val="24"/>
                <w:szCs w:val="24"/>
                <w:lang w:eastAsia="en-IN"/>
              </w:rPr>
            </w:pPr>
            <w:r w:rsidRPr="005065B6">
              <w:rPr>
                <w:rFonts w:ascii="Times New Roman" w:eastAsia="Times New Roman" w:hAnsi="Times New Roman" w:cs="Times New Roman"/>
                <w:color w:val="000000"/>
                <w:sz w:val="24"/>
                <w:szCs w:val="24"/>
                <w:lang w:eastAsia="en-IN"/>
              </w:rPr>
              <w:t>Requirement for obtaining prior approval in case of takeover / acquisition of control of non-bank PSOs and sale / transfer of payment system activity of non-bank PSO</w:t>
            </w:r>
          </w:p>
        </w:tc>
      </w:tr>
      <w:tr w:rsidR="005065B6" w:rsidRPr="005065B6" w:rsidTr="005065B6">
        <w:trPr>
          <w:trHeight w:val="694"/>
        </w:trPr>
        <w:tc>
          <w:tcPr>
            <w:tcW w:w="657" w:type="dxa"/>
            <w:tcBorders>
              <w:top w:val="nil"/>
              <w:left w:val="single" w:sz="4" w:space="0" w:color="auto"/>
              <w:bottom w:val="single" w:sz="4" w:space="0" w:color="auto"/>
              <w:right w:val="single" w:sz="4" w:space="0" w:color="auto"/>
            </w:tcBorders>
            <w:shd w:val="clear" w:color="auto" w:fill="auto"/>
            <w:noWrap/>
            <w:vAlign w:val="center"/>
            <w:hideMark/>
          </w:tcPr>
          <w:p w:rsidR="005065B6" w:rsidRPr="005065B6" w:rsidRDefault="005065B6" w:rsidP="005065B6">
            <w:pPr>
              <w:spacing w:after="0" w:line="240" w:lineRule="auto"/>
              <w:jc w:val="center"/>
              <w:rPr>
                <w:rFonts w:ascii="Times New Roman" w:eastAsia="Times New Roman" w:hAnsi="Times New Roman" w:cs="Times New Roman"/>
                <w:color w:val="000000"/>
                <w:sz w:val="24"/>
                <w:szCs w:val="24"/>
                <w:lang w:eastAsia="en-IN"/>
              </w:rPr>
            </w:pPr>
            <w:r w:rsidRPr="005065B6">
              <w:rPr>
                <w:rFonts w:ascii="Times New Roman" w:eastAsia="Times New Roman" w:hAnsi="Times New Roman" w:cs="Times New Roman"/>
                <w:color w:val="000000"/>
                <w:sz w:val="24"/>
                <w:szCs w:val="24"/>
                <w:lang w:eastAsia="en-IN"/>
              </w:rPr>
              <w:t>3</w:t>
            </w:r>
          </w:p>
        </w:tc>
        <w:tc>
          <w:tcPr>
            <w:tcW w:w="8836" w:type="dxa"/>
            <w:tcBorders>
              <w:top w:val="nil"/>
              <w:left w:val="nil"/>
              <w:bottom w:val="single" w:sz="4" w:space="0" w:color="auto"/>
              <w:right w:val="single" w:sz="4" w:space="0" w:color="auto"/>
            </w:tcBorders>
            <w:shd w:val="clear" w:color="auto" w:fill="auto"/>
            <w:vAlign w:val="center"/>
            <w:hideMark/>
          </w:tcPr>
          <w:p w:rsidR="005065B6" w:rsidRPr="005065B6" w:rsidRDefault="005065B6" w:rsidP="005065B6">
            <w:pPr>
              <w:spacing w:after="0" w:line="240" w:lineRule="auto"/>
              <w:rPr>
                <w:rFonts w:ascii="Times New Roman" w:eastAsia="Times New Roman" w:hAnsi="Times New Roman" w:cs="Times New Roman"/>
                <w:color w:val="000000"/>
                <w:sz w:val="24"/>
                <w:szCs w:val="24"/>
                <w:lang w:eastAsia="en-IN"/>
              </w:rPr>
            </w:pPr>
            <w:r w:rsidRPr="005065B6">
              <w:rPr>
                <w:rFonts w:ascii="Times New Roman" w:eastAsia="Times New Roman" w:hAnsi="Times New Roman" w:cs="Times New Roman"/>
                <w:color w:val="000000"/>
                <w:sz w:val="24"/>
                <w:szCs w:val="24"/>
                <w:lang w:eastAsia="en-IN"/>
              </w:rPr>
              <w:t>Master Direction on Interest Rate on Deposits - Foreign Currency (Non-resident) Accounts (Banks) Scheme [FCNR(B)] and Non-Resident (External) Rupee (NRE) Deposit</w:t>
            </w:r>
          </w:p>
        </w:tc>
      </w:tr>
      <w:tr w:rsidR="005065B6" w:rsidRPr="005065B6" w:rsidTr="005065B6">
        <w:trPr>
          <w:trHeight w:val="704"/>
        </w:trPr>
        <w:tc>
          <w:tcPr>
            <w:tcW w:w="657" w:type="dxa"/>
            <w:tcBorders>
              <w:top w:val="nil"/>
              <w:left w:val="single" w:sz="4" w:space="0" w:color="auto"/>
              <w:bottom w:val="single" w:sz="4" w:space="0" w:color="auto"/>
              <w:right w:val="single" w:sz="4" w:space="0" w:color="auto"/>
            </w:tcBorders>
            <w:shd w:val="clear" w:color="auto" w:fill="auto"/>
            <w:noWrap/>
            <w:vAlign w:val="center"/>
            <w:hideMark/>
          </w:tcPr>
          <w:p w:rsidR="005065B6" w:rsidRPr="005065B6" w:rsidRDefault="005065B6" w:rsidP="005065B6">
            <w:pPr>
              <w:spacing w:after="0" w:line="240" w:lineRule="auto"/>
              <w:jc w:val="center"/>
              <w:rPr>
                <w:rFonts w:ascii="Times New Roman" w:eastAsia="Times New Roman" w:hAnsi="Times New Roman" w:cs="Times New Roman"/>
                <w:color w:val="000000"/>
                <w:sz w:val="24"/>
                <w:szCs w:val="24"/>
                <w:lang w:eastAsia="en-IN"/>
              </w:rPr>
            </w:pPr>
            <w:r w:rsidRPr="005065B6">
              <w:rPr>
                <w:rFonts w:ascii="Times New Roman" w:eastAsia="Times New Roman" w:hAnsi="Times New Roman" w:cs="Times New Roman"/>
                <w:color w:val="000000"/>
                <w:sz w:val="24"/>
                <w:szCs w:val="24"/>
                <w:lang w:eastAsia="en-IN"/>
              </w:rPr>
              <w:t>4</w:t>
            </w:r>
          </w:p>
        </w:tc>
        <w:tc>
          <w:tcPr>
            <w:tcW w:w="8836" w:type="dxa"/>
            <w:tcBorders>
              <w:top w:val="nil"/>
              <w:left w:val="nil"/>
              <w:bottom w:val="single" w:sz="4" w:space="0" w:color="auto"/>
              <w:right w:val="single" w:sz="4" w:space="0" w:color="auto"/>
            </w:tcBorders>
            <w:shd w:val="clear" w:color="auto" w:fill="auto"/>
            <w:vAlign w:val="center"/>
            <w:hideMark/>
          </w:tcPr>
          <w:p w:rsidR="005065B6" w:rsidRPr="005065B6" w:rsidRDefault="005065B6" w:rsidP="005065B6">
            <w:pPr>
              <w:spacing w:after="0" w:line="240" w:lineRule="auto"/>
              <w:rPr>
                <w:rFonts w:ascii="Times New Roman" w:eastAsia="Times New Roman" w:hAnsi="Times New Roman" w:cs="Times New Roman"/>
                <w:color w:val="000000"/>
                <w:sz w:val="24"/>
                <w:szCs w:val="24"/>
                <w:lang w:eastAsia="en-IN"/>
              </w:rPr>
            </w:pPr>
            <w:r w:rsidRPr="005065B6">
              <w:rPr>
                <w:rFonts w:ascii="Times New Roman" w:eastAsia="Times New Roman" w:hAnsi="Times New Roman" w:cs="Times New Roman"/>
                <w:color w:val="000000"/>
                <w:sz w:val="24"/>
                <w:szCs w:val="24"/>
                <w:lang w:eastAsia="en-IN"/>
              </w:rPr>
              <w:t>Section 42 of the Reserve Bank of India Act, 1934 and Section 18 and 24 of the Banking Regulation Act, 1949 – FCNR (B)/NRE Term deposits - Exemption from maintenance of CRR/SLR</w:t>
            </w:r>
          </w:p>
        </w:tc>
      </w:tr>
      <w:tr w:rsidR="005065B6" w:rsidRPr="005065B6" w:rsidTr="005065B6">
        <w:trPr>
          <w:trHeight w:val="510"/>
        </w:trPr>
        <w:tc>
          <w:tcPr>
            <w:tcW w:w="657" w:type="dxa"/>
            <w:tcBorders>
              <w:top w:val="nil"/>
              <w:left w:val="single" w:sz="4" w:space="0" w:color="auto"/>
              <w:bottom w:val="single" w:sz="4" w:space="0" w:color="auto"/>
              <w:right w:val="single" w:sz="4" w:space="0" w:color="auto"/>
            </w:tcBorders>
            <w:shd w:val="clear" w:color="auto" w:fill="auto"/>
            <w:noWrap/>
            <w:vAlign w:val="center"/>
            <w:hideMark/>
          </w:tcPr>
          <w:p w:rsidR="005065B6" w:rsidRPr="005065B6" w:rsidRDefault="005065B6" w:rsidP="005065B6">
            <w:pPr>
              <w:spacing w:after="0" w:line="240" w:lineRule="auto"/>
              <w:jc w:val="center"/>
              <w:rPr>
                <w:rFonts w:ascii="Times New Roman" w:eastAsia="Times New Roman" w:hAnsi="Times New Roman" w:cs="Times New Roman"/>
                <w:color w:val="000000"/>
                <w:sz w:val="24"/>
                <w:szCs w:val="24"/>
                <w:lang w:eastAsia="en-IN"/>
              </w:rPr>
            </w:pPr>
            <w:r w:rsidRPr="005065B6">
              <w:rPr>
                <w:rFonts w:ascii="Times New Roman" w:eastAsia="Times New Roman" w:hAnsi="Times New Roman" w:cs="Times New Roman"/>
                <w:color w:val="000000"/>
                <w:sz w:val="24"/>
                <w:szCs w:val="24"/>
                <w:lang w:eastAsia="en-IN"/>
              </w:rPr>
              <w:t>5</w:t>
            </w:r>
          </w:p>
        </w:tc>
        <w:tc>
          <w:tcPr>
            <w:tcW w:w="8836" w:type="dxa"/>
            <w:tcBorders>
              <w:top w:val="nil"/>
              <w:left w:val="nil"/>
              <w:bottom w:val="single" w:sz="4" w:space="0" w:color="auto"/>
              <w:right w:val="single" w:sz="4" w:space="0" w:color="auto"/>
            </w:tcBorders>
            <w:shd w:val="clear" w:color="auto" w:fill="auto"/>
            <w:vAlign w:val="center"/>
            <w:hideMark/>
          </w:tcPr>
          <w:p w:rsidR="005065B6" w:rsidRPr="005065B6" w:rsidRDefault="005065B6" w:rsidP="005065B6">
            <w:pPr>
              <w:spacing w:after="0" w:line="240" w:lineRule="auto"/>
              <w:rPr>
                <w:rFonts w:ascii="Times New Roman" w:eastAsia="Times New Roman" w:hAnsi="Times New Roman" w:cs="Times New Roman"/>
                <w:color w:val="000000"/>
                <w:sz w:val="24"/>
                <w:szCs w:val="24"/>
                <w:lang w:eastAsia="en-IN"/>
              </w:rPr>
            </w:pPr>
            <w:r w:rsidRPr="005065B6">
              <w:rPr>
                <w:rFonts w:ascii="Times New Roman" w:eastAsia="Times New Roman" w:hAnsi="Times New Roman" w:cs="Times New Roman"/>
                <w:color w:val="000000"/>
                <w:sz w:val="24"/>
                <w:szCs w:val="24"/>
                <w:lang w:eastAsia="en-IN"/>
              </w:rPr>
              <w:t>Investment by Foreign Portfolio Investors (FPI) in Debt - Relaxations</w:t>
            </w:r>
          </w:p>
        </w:tc>
      </w:tr>
      <w:tr w:rsidR="005065B6" w:rsidRPr="005065B6" w:rsidTr="005065B6">
        <w:trPr>
          <w:trHeight w:val="510"/>
        </w:trPr>
        <w:tc>
          <w:tcPr>
            <w:tcW w:w="657" w:type="dxa"/>
            <w:tcBorders>
              <w:top w:val="nil"/>
              <w:left w:val="single" w:sz="4" w:space="0" w:color="auto"/>
              <w:bottom w:val="single" w:sz="4" w:space="0" w:color="auto"/>
              <w:right w:val="single" w:sz="4" w:space="0" w:color="auto"/>
            </w:tcBorders>
            <w:shd w:val="clear" w:color="auto" w:fill="auto"/>
            <w:noWrap/>
            <w:vAlign w:val="center"/>
            <w:hideMark/>
          </w:tcPr>
          <w:p w:rsidR="005065B6" w:rsidRPr="005065B6" w:rsidRDefault="005065B6" w:rsidP="005065B6">
            <w:pPr>
              <w:spacing w:after="0" w:line="240" w:lineRule="auto"/>
              <w:jc w:val="center"/>
              <w:rPr>
                <w:rFonts w:ascii="Times New Roman" w:eastAsia="Times New Roman" w:hAnsi="Times New Roman" w:cs="Times New Roman"/>
                <w:color w:val="000000"/>
                <w:sz w:val="24"/>
                <w:szCs w:val="24"/>
                <w:lang w:eastAsia="en-IN"/>
              </w:rPr>
            </w:pPr>
            <w:r w:rsidRPr="005065B6">
              <w:rPr>
                <w:rFonts w:ascii="Times New Roman" w:eastAsia="Times New Roman" w:hAnsi="Times New Roman" w:cs="Times New Roman"/>
                <w:color w:val="000000"/>
                <w:sz w:val="24"/>
                <w:szCs w:val="24"/>
                <w:lang w:eastAsia="en-IN"/>
              </w:rPr>
              <w:t>6</w:t>
            </w:r>
          </w:p>
        </w:tc>
        <w:tc>
          <w:tcPr>
            <w:tcW w:w="8836" w:type="dxa"/>
            <w:tcBorders>
              <w:top w:val="nil"/>
              <w:left w:val="nil"/>
              <w:bottom w:val="single" w:sz="4" w:space="0" w:color="auto"/>
              <w:right w:val="single" w:sz="4" w:space="0" w:color="auto"/>
            </w:tcBorders>
            <w:shd w:val="clear" w:color="auto" w:fill="auto"/>
            <w:vAlign w:val="center"/>
            <w:hideMark/>
          </w:tcPr>
          <w:p w:rsidR="005065B6" w:rsidRPr="005065B6" w:rsidRDefault="005065B6" w:rsidP="005065B6">
            <w:pPr>
              <w:spacing w:after="0" w:line="240" w:lineRule="auto"/>
              <w:rPr>
                <w:rFonts w:ascii="Times New Roman" w:eastAsia="Times New Roman" w:hAnsi="Times New Roman" w:cs="Times New Roman"/>
                <w:color w:val="000000"/>
                <w:sz w:val="24"/>
                <w:szCs w:val="24"/>
                <w:lang w:eastAsia="en-IN"/>
              </w:rPr>
            </w:pPr>
            <w:r w:rsidRPr="005065B6">
              <w:rPr>
                <w:rFonts w:ascii="Times New Roman" w:eastAsia="Times New Roman" w:hAnsi="Times New Roman" w:cs="Times New Roman"/>
                <w:color w:val="000000"/>
                <w:sz w:val="24"/>
                <w:szCs w:val="24"/>
                <w:lang w:eastAsia="en-IN"/>
              </w:rPr>
              <w:t>Overseas foreign currency borrowings of Authorised Dealer Category-I banks</w:t>
            </w:r>
          </w:p>
        </w:tc>
      </w:tr>
      <w:tr w:rsidR="005065B6" w:rsidRPr="005065B6" w:rsidTr="005065B6">
        <w:trPr>
          <w:trHeight w:val="510"/>
        </w:trPr>
        <w:tc>
          <w:tcPr>
            <w:tcW w:w="657" w:type="dxa"/>
            <w:tcBorders>
              <w:top w:val="nil"/>
              <w:left w:val="single" w:sz="4" w:space="0" w:color="auto"/>
              <w:bottom w:val="single" w:sz="4" w:space="0" w:color="auto"/>
              <w:right w:val="single" w:sz="4" w:space="0" w:color="auto"/>
            </w:tcBorders>
            <w:shd w:val="clear" w:color="auto" w:fill="auto"/>
            <w:noWrap/>
            <w:vAlign w:val="center"/>
            <w:hideMark/>
          </w:tcPr>
          <w:p w:rsidR="005065B6" w:rsidRPr="005065B6" w:rsidRDefault="005065B6" w:rsidP="005065B6">
            <w:pPr>
              <w:spacing w:after="0" w:line="240" w:lineRule="auto"/>
              <w:jc w:val="center"/>
              <w:rPr>
                <w:rFonts w:ascii="Times New Roman" w:eastAsia="Times New Roman" w:hAnsi="Times New Roman" w:cs="Times New Roman"/>
                <w:color w:val="000000"/>
                <w:sz w:val="24"/>
                <w:szCs w:val="24"/>
                <w:lang w:eastAsia="en-IN"/>
              </w:rPr>
            </w:pPr>
            <w:r w:rsidRPr="005065B6">
              <w:rPr>
                <w:rFonts w:ascii="Times New Roman" w:eastAsia="Times New Roman" w:hAnsi="Times New Roman" w:cs="Times New Roman"/>
                <w:color w:val="000000"/>
                <w:sz w:val="24"/>
                <w:szCs w:val="24"/>
                <w:lang w:eastAsia="en-IN"/>
              </w:rPr>
              <w:t>7</w:t>
            </w:r>
          </w:p>
        </w:tc>
        <w:tc>
          <w:tcPr>
            <w:tcW w:w="8836" w:type="dxa"/>
            <w:tcBorders>
              <w:top w:val="nil"/>
              <w:left w:val="nil"/>
              <w:bottom w:val="single" w:sz="4" w:space="0" w:color="auto"/>
              <w:right w:val="single" w:sz="4" w:space="0" w:color="auto"/>
            </w:tcBorders>
            <w:shd w:val="clear" w:color="auto" w:fill="auto"/>
            <w:vAlign w:val="center"/>
            <w:hideMark/>
          </w:tcPr>
          <w:p w:rsidR="005065B6" w:rsidRPr="005065B6" w:rsidRDefault="005065B6" w:rsidP="005065B6">
            <w:pPr>
              <w:spacing w:after="0" w:line="240" w:lineRule="auto"/>
              <w:rPr>
                <w:rFonts w:ascii="Times New Roman" w:eastAsia="Times New Roman" w:hAnsi="Times New Roman" w:cs="Times New Roman"/>
                <w:color w:val="000000"/>
                <w:sz w:val="24"/>
                <w:szCs w:val="24"/>
                <w:lang w:eastAsia="en-IN"/>
              </w:rPr>
            </w:pPr>
            <w:r w:rsidRPr="005065B6">
              <w:rPr>
                <w:rFonts w:ascii="Times New Roman" w:eastAsia="Times New Roman" w:hAnsi="Times New Roman" w:cs="Times New Roman"/>
                <w:color w:val="000000"/>
                <w:sz w:val="24"/>
                <w:szCs w:val="24"/>
                <w:lang w:eastAsia="en-IN"/>
              </w:rPr>
              <w:t>International Trade Settlement in Indian Rupees (INR)</w:t>
            </w:r>
          </w:p>
        </w:tc>
      </w:tr>
      <w:tr w:rsidR="005065B6" w:rsidRPr="005065B6" w:rsidTr="005065B6">
        <w:trPr>
          <w:trHeight w:val="765"/>
        </w:trPr>
        <w:tc>
          <w:tcPr>
            <w:tcW w:w="657" w:type="dxa"/>
            <w:tcBorders>
              <w:top w:val="nil"/>
              <w:left w:val="single" w:sz="4" w:space="0" w:color="auto"/>
              <w:bottom w:val="single" w:sz="4" w:space="0" w:color="auto"/>
              <w:right w:val="single" w:sz="4" w:space="0" w:color="auto"/>
            </w:tcBorders>
            <w:shd w:val="clear" w:color="auto" w:fill="auto"/>
            <w:noWrap/>
            <w:vAlign w:val="center"/>
            <w:hideMark/>
          </w:tcPr>
          <w:p w:rsidR="005065B6" w:rsidRPr="005065B6" w:rsidRDefault="005065B6" w:rsidP="005065B6">
            <w:pPr>
              <w:spacing w:after="0" w:line="240" w:lineRule="auto"/>
              <w:jc w:val="center"/>
              <w:rPr>
                <w:rFonts w:ascii="Times New Roman" w:eastAsia="Times New Roman" w:hAnsi="Times New Roman" w:cs="Times New Roman"/>
                <w:color w:val="000000"/>
                <w:sz w:val="24"/>
                <w:szCs w:val="24"/>
                <w:lang w:eastAsia="en-IN"/>
              </w:rPr>
            </w:pPr>
            <w:r w:rsidRPr="005065B6">
              <w:rPr>
                <w:rFonts w:ascii="Times New Roman" w:eastAsia="Times New Roman" w:hAnsi="Times New Roman" w:cs="Times New Roman"/>
                <w:color w:val="000000"/>
                <w:sz w:val="24"/>
                <w:szCs w:val="24"/>
                <w:lang w:eastAsia="en-IN"/>
              </w:rPr>
              <w:t>8</w:t>
            </w:r>
          </w:p>
        </w:tc>
        <w:tc>
          <w:tcPr>
            <w:tcW w:w="8836" w:type="dxa"/>
            <w:tcBorders>
              <w:top w:val="nil"/>
              <w:left w:val="nil"/>
              <w:bottom w:val="single" w:sz="4" w:space="0" w:color="auto"/>
              <w:right w:val="single" w:sz="4" w:space="0" w:color="auto"/>
            </w:tcBorders>
            <w:shd w:val="clear" w:color="auto" w:fill="auto"/>
            <w:vAlign w:val="center"/>
            <w:hideMark/>
          </w:tcPr>
          <w:p w:rsidR="005065B6" w:rsidRPr="005065B6" w:rsidRDefault="005065B6" w:rsidP="005065B6">
            <w:pPr>
              <w:spacing w:after="0" w:line="240" w:lineRule="auto"/>
              <w:rPr>
                <w:rFonts w:ascii="Times New Roman" w:eastAsia="Times New Roman" w:hAnsi="Times New Roman" w:cs="Times New Roman"/>
                <w:color w:val="000000"/>
                <w:sz w:val="24"/>
                <w:szCs w:val="24"/>
                <w:lang w:eastAsia="en-IN"/>
              </w:rPr>
            </w:pPr>
            <w:r w:rsidRPr="005065B6">
              <w:rPr>
                <w:rFonts w:ascii="Times New Roman" w:eastAsia="Times New Roman" w:hAnsi="Times New Roman" w:cs="Times New Roman"/>
                <w:color w:val="000000"/>
                <w:sz w:val="24"/>
                <w:szCs w:val="24"/>
                <w:lang w:eastAsia="en-IN"/>
              </w:rPr>
              <w:t xml:space="preserve">Master Circular – </w:t>
            </w:r>
            <w:proofErr w:type="spellStart"/>
            <w:r w:rsidRPr="005065B6">
              <w:rPr>
                <w:rFonts w:ascii="Times New Roman" w:eastAsia="Times New Roman" w:hAnsi="Times New Roman" w:cs="Times New Roman"/>
                <w:color w:val="000000"/>
                <w:sz w:val="24"/>
                <w:szCs w:val="24"/>
                <w:lang w:eastAsia="en-IN"/>
              </w:rPr>
              <w:t>Deendayal</w:t>
            </w:r>
            <w:proofErr w:type="spellEnd"/>
            <w:r w:rsidRPr="005065B6">
              <w:rPr>
                <w:rFonts w:ascii="Times New Roman" w:eastAsia="Times New Roman" w:hAnsi="Times New Roman" w:cs="Times New Roman"/>
                <w:color w:val="000000"/>
                <w:sz w:val="24"/>
                <w:szCs w:val="24"/>
                <w:lang w:eastAsia="en-IN"/>
              </w:rPr>
              <w:t xml:space="preserve"> </w:t>
            </w:r>
            <w:proofErr w:type="spellStart"/>
            <w:r w:rsidRPr="005065B6">
              <w:rPr>
                <w:rFonts w:ascii="Times New Roman" w:eastAsia="Times New Roman" w:hAnsi="Times New Roman" w:cs="Times New Roman"/>
                <w:color w:val="000000"/>
                <w:sz w:val="24"/>
                <w:szCs w:val="24"/>
                <w:lang w:eastAsia="en-IN"/>
              </w:rPr>
              <w:t>Antyodaya</w:t>
            </w:r>
            <w:proofErr w:type="spellEnd"/>
            <w:r w:rsidRPr="005065B6">
              <w:rPr>
                <w:rFonts w:ascii="Times New Roman" w:eastAsia="Times New Roman" w:hAnsi="Times New Roman" w:cs="Times New Roman"/>
                <w:color w:val="000000"/>
                <w:sz w:val="24"/>
                <w:szCs w:val="24"/>
                <w:lang w:eastAsia="en-IN"/>
              </w:rPr>
              <w:t xml:space="preserve"> </w:t>
            </w:r>
            <w:proofErr w:type="spellStart"/>
            <w:r w:rsidRPr="005065B6">
              <w:rPr>
                <w:rFonts w:ascii="Times New Roman" w:eastAsia="Times New Roman" w:hAnsi="Times New Roman" w:cs="Times New Roman"/>
                <w:color w:val="000000"/>
                <w:sz w:val="24"/>
                <w:szCs w:val="24"/>
                <w:lang w:eastAsia="en-IN"/>
              </w:rPr>
              <w:t>Yojana</w:t>
            </w:r>
            <w:proofErr w:type="spellEnd"/>
            <w:r w:rsidRPr="005065B6">
              <w:rPr>
                <w:rFonts w:ascii="Times New Roman" w:eastAsia="Times New Roman" w:hAnsi="Times New Roman" w:cs="Times New Roman"/>
                <w:color w:val="000000"/>
                <w:sz w:val="24"/>
                <w:szCs w:val="24"/>
                <w:lang w:eastAsia="en-IN"/>
              </w:rPr>
              <w:t xml:space="preserve"> - National Rural Livelihoods Mission (DAY-NRLM)</w:t>
            </w:r>
          </w:p>
        </w:tc>
      </w:tr>
      <w:tr w:rsidR="005065B6" w:rsidRPr="005065B6" w:rsidTr="005065B6">
        <w:trPr>
          <w:trHeight w:val="510"/>
        </w:trPr>
        <w:tc>
          <w:tcPr>
            <w:tcW w:w="657" w:type="dxa"/>
            <w:tcBorders>
              <w:top w:val="nil"/>
              <w:left w:val="single" w:sz="4" w:space="0" w:color="auto"/>
              <w:bottom w:val="single" w:sz="4" w:space="0" w:color="auto"/>
              <w:right w:val="single" w:sz="4" w:space="0" w:color="auto"/>
            </w:tcBorders>
            <w:shd w:val="clear" w:color="auto" w:fill="auto"/>
            <w:noWrap/>
            <w:vAlign w:val="center"/>
            <w:hideMark/>
          </w:tcPr>
          <w:p w:rsidR="005065B6" w:rsidRPr="005065B6" w:rsidRDefault="005065B6" w:rsidP="005065B6">
            <w:pPr>
              <w:spacing w:after="0" w:line="240" w:lineRule="auto"/>
              <w:jc w:val="center"/>
              <w:rPr>
                <w:rFonts w:ascii="Times New Roman" w:eastAsia="Times New Roman" w:hAnsi="Times New Roman" w:cs="Times New Roman"/>
                <w:color w:val="000000"/>
                <w:sz w:val="24"/>
                <w:szCs w:val="24"/>
                <w:lang w:eastAsia="en-IN"/>
              </w:rPr>
            </w:pPr>
            <w:r w:rsidRPr="005065B6">
              <w:rPr>
                <w:rFonts w:ascii="Times New Roman" w:eastAsia="Times New Roman" w:hAnsi="Times New Roman" w:cs="Times New Roman"/>
                <w:color w:val="000000"/>
                <w:sz w:val="24"/>
                <w:szCs w:val="24"/>
                <w:lang w:eastAsia="en-IN"/>
              </w:rPr>
              <w:t>9</w:t>
            </w:r>
          </w:p>
        </w:tc>
        <w:tc>
          <w:tcPr>
            <w:tcW w:w="8836" w:type="dxa"/>
            <w:tcBorders>
              <w:top w:val="nil"/>
              <w:left w:val="nil"/>
              <w:bottom w:val="single" w:sz="4" w:space="0" w:color="auto"/>
              <w:right w:val="single" w:sz="4" w:space="0" w:color="auto"/>
            </w:tcBorders>
            <w:shd w:val="clear" w:color="auto" w:fill="auto"/>
            <w:vAlign w:val="center"/>
            <w:hideMark/>
          </w:tcPr>
          <w:p w:rsidR="005065B6" w:rsidRPr="005065B6" w:rsidRDefault="005065B6" w:rsidP="005065B6">
            <w:pPr>
              <w:spacing w:after="0" w:line="240" w:lineRule="auto"/>
              <w:rPr>
                <w:rFonts w:ascii="Times New Roman" w:eastAsia="Times New Roman" w:hAnsi="Times New Roman" w:cs="Times New Roman"/>
                <w:color w:val="000000"/>
                <w:sz w:val="24"/>
                <w:szCs w:val="24"/>
                <w:lang w:eastAsia="en-IN"/>
              </w:rPr>
            </w:pPr>
            <w:r w:rsidRPr="005065B6">
              <w:rPr>
                <w:rFonts w:ascii="Times New Roman" w:eastAsia="Times New Roman" w:hAnsi="Times New Roman" w:cs="Times New Roman"/>
                <w:color w:val="000000"/>
                <w:sz w:val="24"/>
                <w:szCs w:val="24"/>
                <w:lang w:eastAsia="en-IN"/>
              </w:rPr>
              <w:t>Board approved Loan Policy – Management of Advances - UCBs</w:t>
            </w:r>
          </w:p>
        </w:tc>
      </w:tr>
      <w:tr w:rsidR="005065B6" w:rsidRPr="005065B6" w:rsidTr="005065B6">
        <w:trPr>
          <w:trHeight w:val="510"/>
        </w:trPr>
        <w:tc>
          <w:tcPr>
            <w:tcW w:w="657" w:type="dxa"/>
            <w:tcBorders>
              <w:top w:val="nil"/>
              <w:left w:val="single" w:sz="4" w:space="0" w:color="auto"/>
              <w:bottom w:val="single" w:sz="4" w:space="0" w:color="auto"/>
              <w:right w:val="single" w:sz="4" w:space="0" w:color="auto"/>
            </w:tcBorders>
            <w:shd w:val="clear" w:color="auto" w:fill="auto"/>
            <w:noWrap/>
            <w:vAlign w:val="center"/>
            <w:hideMark/>
          </w:tcPr>
          <w:p w:rsidR="005065B6" w:rsidRPr="005065B6" w:rsidRDefault="005065B6" w:rsidP="005065B6">
            <w:pPr>
              <w:spacing w:after="0" w:line="240" w:lineRule="auto"/>
              <w:jc w:val="center"/>
              <w:rPr>
                <w:rFonts w:ascii="Times New Roman" w:eastAsia="Times New Roman" w:hAnsi="Times New Roman" w:cs="Times New Roman"/>
                <w:color w:val="000000"/>
                <w:sz w:val="24"/>
                <w:szCs w:val="24"/>
                <w:lang w:eastAsia="en-IN"/>
              </w:rPr>
            </w:pPr>
            <w:r w:rsidRPr="005065B6">
              <w:rPr>
                <w:rFonts w:ascii="Times New Roman" w:eastAsia="Times New Roman" w:hAnsi="Times New Roman" w:cs="Times New Roman"/>
                <w:color w:val="000000"/>
                <w:sz w:val="24"/>
                <w:szCs w:val="24"/>
                <w:lang w:eastAsia="en-IN"/>
              </w:rPr>
              <w:t>10</w:t>
            </w:r>
          </w:p>
        </w:tc>
        <w:tc>
          <w:tcPr>
            <w:tcW w:w="8836" w:type="dxa"/>
            <w:tcBorders>
              <w:top w:val="nil"/>
              <w:left w:val="nil"/>
              <w:bottom w:val="single" w:sz="4" w:space="0" w:color="auto"/>
              <w:right w:val="single" w:sz="4" w:space="0" w:color="auto"/>
            </w:tcBorders>
            <w:shd w:val="clear" w:color="auto" w:fill="auto"/>
            <w:vAlign w:val="center"/>
            <w:hideMark/>
          </w:tcPr>
          <w:p w:rsidR="005065B6" w:rsidRPr="005065B6" w:rsidRDefault="005065B6" w:rsidP="005065B6">
            <w:pPr>
              <w:spacing w:after="0" w:line="240" w:lineRule="auto"/>
              <w:rPr>
                <w:rFonts w:ascii="Times New Roman" w:eastAsia="Times New Roman" w:hAnsi="Times New Roman" w:cs="Times New Roman"/>
                <w:color w:val="000000"/>
                <w:sz w:val="24"/>
                <w:szCs w:val="24"/>
                <w:lang w:eastAsia="en-IN"/>
              </w:rPr>
            </w:pPr>
            <w:r w:rsidRPr="005065B6">
              <w:rPr>
                <w:rFonts w:ascii="Times New Roman" w:eastAsia="Times New Roman" w:hAnsi="Times New Roman" w:cs="Times New Roman"/>
                <w:color w:val="000000"/>
                <w:sz w:val="24"/>
                <w:szCs w:val="24"/>
                <w:lang w:eastAsia="en-IN"/>
              </w:rPr>
              <w:t>Restriction on Storage of Actual Card Data [i.e. Card-on-File (</w:t>
            </w:r>
            <w:proofErr w:type="spellStart"/>
            <w:r w:rsidRPr="005065B6">
              <w:rPr>
                <w:rFonts w:ascii="Times New Roman" w:eastAsia="Times New Roman" w:hAnsi="Times New Roman" w:cs="Times New Roman"/>
                <w:color w:val="000000"/>
                <w:sz w:val="24"/>
                <w:szCs w:val="24"/>
                <w:lang w:eastAsia="en-IN"/>
              </w:rPr>
              <w:t>CoF</w:t>
            </w:r>
            <w:proofErr w:type="spellEnd"/>
            <w:r w:rsidRPr="005065B6">
              <w:rPr>
                <w:rFonts w:ascii="Times New Roman" w:eastAsia="Times New Roman" w:hAnsi="Times New Roman" w:cs="Times New Roman"/>
                <w:color w:val="000000"/>
                <w:sz w:val="24"/>
                <w:szCs w:val="24"/>
                <w:lang w:eastAsia="en-IN"/>
              </w:rPr>
              <w:t>)]</w:t>
            </w:r>
          </w:p>
        </w:tc>
      </w:tr>
      <w:tr w:rsidR="005065B6" w:rsidRPr="005065B6" w:rsidTr="005065B6">
        <w:trPr>
          <w:trHeight w:val="765"/>
        </w:trPr>
        <w:tc>
          <w:tcPr>
            <w:tcW w:w="657" w:type="dxa"/>
            <w:tcBorders>
              <w:top w:val="nil"/>
              <w:left w:val="single" w:sz="4" w:space="0" w:color="auto"/>
              <w:bottom w:val="single" w:sz="4" w:space="0" w:color="auto"/>
              <w:right w:val="single" w:sz="4" w:space="0" w:color="auto"/>
            </w:tcBorders>
            <w:shd w:val="clear" w:color="auto" w:fill="auto"/>
            <w:noWrap/>
            <w:vAlign w:val="center"/>
            <w:hideMark/>
          </w:tcPr>
          <w:p w:rsidR="005065B6" w:rsidRPr="005065B6" w:rsidRDefault="005065B6" w:rsidP="005065B6">
            <w:pPr>
              <w:spacing w:after="0" w:line="240" w:lineRule="auto"/>
              <w:jc w:val="center"/>
              <w:rPr>
                <w:rFonts w:ascii="Times New Roman" w:eastAsia="Times New Roman" w:hAnsi="Times New Roman" w:cs="Times New Roman"/>
                <w:color w:val="000000"/>
                <w:sz w:val="24"/>
                <w:szCs w:val="24"/>
                <w:lang w:eastAsia="en-IN"/>
              </w:rPr>
            </w:pPr>
            <w:r w:rsidRPr="005065B6">
              <w:rPr>
                <w:rFonts w:ascii="Times New Roman" w:eastAsia="Times New Roman" w:hAnsi="Times New Roman" w:cs="Times New Roman"/>
                <w:color w:val="000000"/>
                <w:sz w:val="24"/>
                <w:szCs w:val="24"/>
                <w:lang w:eastAsia="en-IN"/>
              </w:rPr>
              <w:t>11</w:t>
            </w:r>
          </w:p>
        </w:tc>
        <w:tc>
          <w:tcPr>
            <w:tcW w:w="8836" w:type="dxa"/>
            <w:tcBorders>
              <w:top w:val="nil"/>
              <w:left w:val="nil"/>
              <w:bottom w:val="single" w:sz="4" w:space="0" w:color="auto"/>
              <w:right w:val="single" w:sz="4" w:space="0" w:color="auto"/>
            </w:tcBorders>
            <w:shd w:val="clear" w:color="auto" w:fill="auto"/>
            <w:vAlign w:val="center"/>
            <w:hideMark/>
          </w:tcPr>
          <w:p w:rsidR="005065B6" w:rsidRPr="005065B6" w:rsidRDefault="005065B6" w:rsidP="005065B6">
            <w:pPr>
              <w:spacing w:after="0" w:line="240" w:lineRule="auto"/>
              <w:rPr>
                <w:rFonts w:ascii="Times New Roman" w:eastAsia="Times New Roman" w:hAnsi="Times New Roman" w:cs="Times New Roman"/>
                <w:color w:val="000000"/>
                <w:sz w:val="24"/>
                <w:szCs w:val="24"/>
                <w:lang w:eastAsia="en-IN"/>
              </w:rPr>
            </w:pPr>
            <w:r w:rsidRPr="005065B6">
              <w:rPr>
                <w:rFonts w:ascii="Times New Roman" w:eastAsia="Times New Roman" w:hAnsi="Times New Roman" w:cs="Times New Roman"/>
                <w:color w:val="000000"/>
                <w:sz w:val="24"/>
                <w:szCs w:val="24"/>
                <w:lang w:eastAsia="en-IN"/>
              </w:rPr>
              <w:t>Foreign Exchange Management (Borrowing and Lending) (Amendment) Regulations, 2022</w:t>
            </w:r>
          </w:p>
        </w:tc>
      </w:tr>
      <w:tr w:rsidR="005065B6" w:rsidRPr="005065B6" w:rsidTr="00595F75">
        <w:trPr>
          <w:trHeight w:val="678"/>
        </w:trPr>
        <w:tc>
          <w:tcPr>
            <w:tcW w:w="657" w:type="dxa"/>
            <w:tcBorders>
              <w:top w:val="nil"/>
              <w:left w:val="single" w:sz="4" w:space="0" w:color="auto"/>
              <w:bottom w:val="single" w:sz="4" w:space="0" w:color="auto"/>
              <w:right w:val="single" w:sz="4" w:space="0" w:color="auto"/>
            </w:tcBorders>
            <w:shd w:val="clear" w:color="auto" w:fill="auto"/>
            <w:noWrap/>
            <w:vAlign w:val="center"/>
            <w:hideMark/>
          </w:tcPr>
          <w:p w:rsidR="005065B6" w:rsidRPr="005065B6" w:rsidRDefault="005065B6" w:rsidP="005065B6">
            <w:pPr>
              <w:spacing w:after="0" w:line="240" w:lineRule="auto"/>
              <w:jc w:val="center"/>
              <w:rPr>
                <w:rFonts w:ascii="Times New Roman" w:eastAsia="Times New Roman" w:hAnsi="Times New Roman" w:cs="Times New Roman"/>
                <w:color w:val="000000"/>
                <w:sz w:val="24"/>
                <w:szCs w:val="24"/>
                <w:lang w:eastAsia="en-IN"/>
              </w:rPr>
            </w:pPr>
            <w:r w:rsidRPr="005065B6">
              <w:rPr>
                <w:rFonts w:ascii="Times New Roman" w:eastAsia="Times New Roman" w:hAnsi="Times New Roman" w:cs="Times New Roman"/>
                <w:color w:val="000000"/>
                <w:sz w:val="24"/>
                <w:szCs w:val="24"/>
                <w:lang w:eastAsia="en-IN"/>
              </w:rPr>
              <w:t>12</w:t>
            </w:r>
          </w:p>
        </w:tc>
        <w:tc>
          <w:tcPr>
            <w:tcW w:w="8836" w:type="dxa"/>
            <w:tcBorders>
              <w:top w:val="nil"/>
              <w:left w:val="nil"/>
              <w:bottom w:val="single" w:sz="4" w:space="0" w:color="auto"/>
              <w:right w:val="single" w:sz="4" w:space="0" w:color="auto"/>
            </w:tcBorders>
            <w:shd w:val="clear" w:color="auto" w:fill="auto"/>
            <w:vAlign w:val="center"/>
            <w:hideMark/>
          </w:tcPr>
          <w:p w:rsidR="005065B6" w:rsidRPr="005065B6" w:rsidRDefault="005065B6" w:rsidP="005065B6">
            <w:pPr>
              <w:spacing w:after="0" w:line="240" w:lineRule="auto"/>
              <w:rPr>
                <w:rFonts w:ascii="Times New Roman" w:eastAsia="Times New Roman" w:hAnsi="Times New Roman" w:cs="Times New Roman"/>
                <w:color w:val="000000"/>
                <w:sz w:val="24"/>
                <w:szCs w:val="24"/>
                <w:lang w:eastAsia="en-IN"/>
              </w:rPr>
            </w:pPr>
            <w:r w:rsidRPr="005065B6">
              <w:rPr>
                <w:rFonts w:ascii="Times New Roman" w:eastAsia="Times New Roman" w:hAnsi="Times New Roman" w:cs="Times New Roman"/>
                <w:color w:val="000000"/>
                <w:sz w:val="24"/>
                <w:szCs w:val="24"/>
                <w:lang w:eastAsia="en-IN"/>
              </w:rPr>
              <w:t>Master Circular - Credit facilities to Scheduled Castes (SCs) &amp; Scheduled Tribes (STs)</w:t>
            </w:r>
          </w:p>
        </w:tc>
      </w:tr>
      <w:tr w:rsidR="005065B6" w:rsidRPr="005065B6" w:rsidTr="005065B6">
        <w:trPr>
          <w:trHeight w:val="510"/>
        </w:trPr>
        <w:tc>
          <w:tcPr>
            <w:tcW w:w="657" w:type="dxa"/>
            <w:tcBorders>
              <w:top w:val="nil"/>
              <w:left w:val="single" w:sz="4" w:space="0" w:color="auto"/>
              <w:bottom w:val="single" w:sz="4" w:space="0" w:color="auto"/>
              <w:right w:val="single" w:sz="4" w:space="0" w:color="auto"/>
            </w:tcBorders>
            <w:shd w:val="clear" w:color="auto" w:fill="auto"/>
            <w:noWrap/>
            <w:vAlign w:val="center"/>
            <w:hideMark/>
          </w:tcPr>
          <w:p w:rsidR="005065B6" w:rsidRPr="005065B6" w:rsidRDefault="005065B6" w:rsidP="005065B6">
            <w:pPr>
              <w:spacing w:after="0" w:line="240" w:lineRule="auto"/>
              <w:jc w:val="center"/>
              <w:rPr>
                <w:rFonts w:ascii="Times New Roman" w:eastAsia="Times New Roman" w:hAnsi="Times New Roman" w:cs="Times New Roman"/>
                <w:color w:val="000000"/>
                <w:sz w:val="24"/>
                <w:szCs w:val="24"/>
                <w:lang w:eastAsia="en-IN"/>
              </w:rPr>
            </w:pPr>
            <w:r w:rsidRPr="005065B6">
              <w:rPr>
                <w:rFonts w:ascii="Times New Roman" w:eastAsia="Times New Roman" w:hAnsi="Times New Roman" w:cs="Times New Roman"/>
                <w:color w:val="000000"/>
                <w:sz w:val="24"/>
                <w:szCs w:val="24"/>
                <w:lang w:eastAsia="en-IN"/>
              </w:rPr>
              <w:t>13</w:t>
            </w:r>
          </w:p>
        </w:tc>
        <w:tc>
          <w:tcPr>
            <w:tcW w:w="8836" w:type="dxa"/>
            <w:tcBorders>
              <w:top w:val="nil"/>
              <w:left w:val="nil"/>
              <w:bottom w:val="single" w:sz="4" w:space="0" w:color="auto"/>
              <w:right w:val="single" w:sz="4" w:space="0" w:color="auto"/>
            </w:tcBorders>
            <w:shd w:val="clear" w:color="auto" w:fill="auto"/>
            <w:vAlign w:val="center"/>
            <w:hideMark/>
          </w:tcPr>
          <w:p w:rsidR="005065B6" w:rsidRPr="005065B6" w:rsidRDefault="005065B6" w:rsidP="005065B6">
            <w:pPr>
              <w:spacing w:after="0" w:line="240" w:lineRule="auto"/>
              <w:rPr>
                <w:rFonts w:ascii="Times New Roman" w:eastAsia="Times New Roman" w:hAnsi="Times New Roman" w:cs="Times New Roman"/>
                <w:color w:val="000000"/>
                <w:sz w:val="24"/>
                <w:szCs w:val="24"/>
                <w:lang w:eastAsia="en-IN"/>
              </w:rPr>
            </w:pPr>
            <w:r w:rsidRPr="005065B6">
              <w:rPr>
                <w:rFonts w:ascii="Times New Roman" w:eastAsia="Times New Roman" w:hAnsi="Times New Roman" w:cs="Times New Roman"/>
                <w:color w:val="000000"/>
                <w:sz w:val="24"/>
                <w:szCs w:val="24"/>
                <w:lang w:eastAsia="en-IN"/>
              </w:rPr>
              <w:t>External Commercial Borrowings (ECB) Policy – Liberalisation Measures</w:t>
            </w:r>
          </w:p>
        </w:tc>
      </w:tr>
      <w:tr w:rsidR="005065B6" w:rsidRPr="005065B6" w:rsidTr="005065B6">
        <w:trPr>
          <w:trHeight w:val="510"/>
        </w:trPr>
        <w:tc>
          <w:tcPr>
            <w:tcW w:w="657" w:type="dxa"/>
            <w:tcBorders>
              <w:top w:val="nil"/>
              <w:left w:val="single" w:sz="4" w:space="0" w:color="auto"/>
              <w:bottom w:val="single" w:sz="4" w:space="0" w:color="auto"/>
              <w:right w:val="single" w:sz="4" w:space="0" w:color="auto"/>
            </w:tcBorders>
            <w:shd w:val="clear" w:color="auto" w:fill="auto"/>
            <w:noWrap/>
            <w:vAlign w:val="center"/>
            <w:hideMark/>
          </w:tcPr>
          <w:p w:rsidR="005065B6" w:rsidRPr="005065B6" w:rsidRDefault="005065B6" w:rsidP="005065B6">
            <w:pPr>
              <w:spacing w:after="0" w:line="240" w:lineRule="auto"/>
              <w:jc w:val="center"/>
              <w:rPr>
                <w:rFonts w:ascii="Times New Roman" w:eastAsia="Times New Roman" w:hAnsi="Times New Roman" w:cs="Times New Roman"/>
                <w:color w:val="000000"/>
                <w:sz w:val="24"/>
                <w:szCs w:val="24"/>
                <w:lang w:eastAsia="en-IN"/>
              </w:rPr>
            </w:pPr>
            <w:r w:rsidRPr="005065B6">
              <w:rPr>
                <w:rFonts w:ascii="Times New Roman" w:eastAsia="Times New Roman" w:hAnsi="Times New Roman" w:cs="Times New Roman"/>
                <w:color w:val="000000"/>
                <w:sz w:val="24"/>
                <w:szCs w:val="24"/>
                <w:lang w:eastAsia="en-IN"/>
              </w:rPr>
              <w:t>14</w:t>
            </w:r>
          </w:p>
        </w:tc>
        <w:tc>
          <w:tcPr>
            <w:tcW w:w="8836" w:type="dxa"/>
            <w:tcBorders>
              <w:top w:val="nil"/>
              <w:left w:val="nil"/>
              <w:bottom w:val="single" w:sz="4" w:space="0" w:color="auto"/>
              <w:right w:val="single" w:sz="4" w:space="0" w:color="auto"/>
            </w:tcBorders>
            <w:shd w:val="clear" w:color="auto" w:fill="auto"/>
            <w:vAlign w:val="center"/>
            <w:hideMark/>
          </w:tcPr>
          <w:p w:rsidR="005065B6" w:rsidRPr="005065B6" w:rsidRDefault="005065B6" w:rsidP="005065B6">
            <w:pPr>
              <w:spacing w:after="0" w:line="240" w:lineRule="auto"/>
              <w:rPr>
                <w:rFonts w:ascii="Times New Roman" w:eastAsia="Times New Roman" w:hAnsi="Times New Roman" w:cs="Times New Roman"/>
                <w:color w:val="000000"/>
                <w:sz w:val="24"/>
                <w:szCs w:val="24"/>
                <w:lang w:eastAsia="en-IN"/>
              </w:rPr>
            </w:pPr>
            <w:r w:rsidRPr="005065B6">
              <w:rPr>
                <w:rFonts w:ascii="Times New Roman" w:eastAsia="Times New Roman" w:hAnsi="Times New Roman" w:cs="Times New Roman"/>
                <w:color w:val="000000"/>
                <w:sz w:val="24"/>
                <w:szCs w:val="24"/>
                <w:lang w:eastAsia="en-IN"/>
              </w:rPr>
              <w:t>Master Circular on Credit Facilities to Minority Communities</w:t>
            </w:r>
          </w:p>
        </w:tc>
      </w:tr>
      <w:tr w:rsidR="005065B6" w:rsidRPr="005065B6" w:rsidTr="005065B6">
        <w:trPr>
          <w:trHeight w:val="545"/>
        </w:trPr>
        <w:tc>
          <w:tcPr>
            <w:tcW w:w="657" w:type="dxa"/>
            <w:tcBorders>
              <w:top w:val="nil"/>
              <w:left w:val="single" w:sz="4" w:space="0" w:color="auto"/>
              <w:bottom w:val="single" w:sz="4" w:space="0" w:color="auto"/>
              <w:right w:val="single" w:sz="4" w:space="0" w:color="auto"/>
            </w:tcBorders>
            <w:shd w:val="clear" w:color="auto" w:fill="auto"/>
            <w:noWrap/>
            <w:vAlign w:val="center"/>
            <w:hideMark/>
          </w:tcPr>
          <w:p w:rsidR="005065B6" w:rsidRPr="005065B6" w:rsidRDefault="005065B6" w:rsidP="005065B6">
            <w:pPr>
              <w:spacing w:after="0" w:line="240" w:lineRule="auto"/>
              <w:jc w:val="center"/>
              <w:rPr>
                <w:rFonts w:ascii="Times New Roman" w:eastAsia="Times New Roman" w:hAnsi="Times New Roman" w:cs="Times New Roman"/>
                <w:color w:val="000000"/>
                <w:sz w:val="24"/>
                <w:szCs w:val="24"/>
                <w:lang w:eastAsia="en-IN"/>
              </w:rPr>
            </w:pPr>
            <w:r w:rsidRPr="005065B6">
              <w:rPr>
                <w:rFonts w:ascii="Times New Roman" w:eastAsia="Times New Roman" w:hAnsi="Times New Roman" w:cs="Times New Roman"/>
                <w:color w:val="000000"/>
                <w:sz w:val="24"/>
                <w:szCs w:val="24"/>
                <w:lang w:eastAsia="en-IN"/>
              </w:rPr>
              <w:t>15</w:t>
            </w:r>
          </w:p>
        </w:tc>
        <w:tc>
          <w:tcPr>
            <w:tcW w:w="8836" w:type="dxa"/>
            <w:tcBorders>
              <w:top w:val="nil"/>
              <w:left w:val="nil"/>
              <w:bottom w:val="single" w:sz="4" w:space="0" w:color="auto"/>
              <w:right w:val="single" w:sz="4" w:space="0" w:color="auto"/>
            </w:tcBorders>
            <w:shd w:val="clear" w:color="auto" w:fill="auto"/>
            <w:vAlign w:val="center"/>
            <w:hideMark/>
          </w:tcPr>
          <w:p w:rsidR="005065B6" w:rsidRPr="005065B6" w:rsidRDefault="005065B6" w:rsidP="005065B6">
            <w:pPr>
              <w:spacing w:after="0" w:line="240" w:lineRule="auto"/>
              <w:rPr>
                <w:rFonts w:ascii="Times New Roman" w:eastAsia="Times New Roman" w:hAnsi="Times New Roman" w:cs="Times New Roman"/>
                <w:color w:val="000000"/>
                <w:sz w:val="24"/>
                <w:szCs w:val="24"/>
                <w:lang w:eastAsia="en-IN"/>
              </w:rPr>
            </w:pPr>
            <w:r w:rsidRPr="005065B6">
              <w:rPr>
                <w:rFonts w:ascii="Times New Roman" w:eastAsia="Times New Roman" w:hAnsi="Times New Roman" w:cs="Times New Roman"/>
                <w:color w:val="000000"/>
                <w:sz w:val="24"/>
                <w:szCs w:val="24"/>
                <w:lang w:eastAsia="en-IN"/>
              </w:rPr>
              <w:t>Gold Monetization Scheme (GMS), 2015</w:t>
            </w:r>
          </w:p>
        </w:tc>
      </w:tr>
      <w:tr w:rsidR="005065B6" w:rsidRPr="005065B6" w:rsidTr="005065B6">
        <w:trPr>
          <w:trHeight w:val="510"/>
        </w:trPr>
        <w:tc>
          <w:tcPr>
            <w:tcW w:w="657" w:type="dxa"/>
            <w:tcBorders>
              <w:top w:val="nil"/>
              <w:left w:val="single" w:sz="4" w:space="0" w:color="auto"/>
              <w:bottom w:val="single" w:sz="4" w:space="0" w:color="auto"/>
              <w:right w:val="single" w:sz="4" w:space="0" w:color="auto"/>
            </w:tcBorders>
            <w:shd w:val="clear" w:color="auto" w:fill="auto"/>
            <w:noWrap/>
            <w:vAlign w:val="center"/>
            <w:hideMark/>
          </w:tcPr>
          <w:p w:rsidR="005065B6" w:rsidRPr="005065B6" w:rsidRDefault="005065B6" w:rsidP="005065B6">
            <w:pPr>
              <w:spacing w:after="0" w:line="240" w:lineRule="auto"/>
              <w:jc w:val="center"/>
              <w:rPr>
                <w:rFonts w:ascii="Times New Roman" w:eastAsia="Times New Roman" w:hAnsi="Times New Roman" w:cs="Times New Roman"/>
                <w:color w:val="000000"/>
                <w:sz w:val="24"/>
                <w:szCs w:val="24"/>
                <w:lang w:eastAsia="en-IN"/>
              </w:rPr>
            </w:pPr>
            <w:r w:rsidRPr="005065B6">
              <w:rPr>
                <w:rFonts w:ascii="Times New Roman" w:eastAsia="Times New Roman" w:hAnsi="Times New Roman" w:cs="Times New Roman"/>
                <w:color w:val="000000"/>
                <w:sz w:val="24"/>
                <w:szCs w:val="24"/>
                <w:lang w:eastAsia="en-IN"/>
              </w:rPr>
              <w:t>16</w:t>
            </w:r>
          </w:p>
        </w:tc>
        <w:tc>
          <w:tcPr>
            <w:tcW w:w="8836" w:type="dxa"/>
            <w:tcBorders>
              <w:top w:val="nil"/>
              <w:left w:val="nil"/>
              <w:bottom w:val="single" w:sz="4" w:space="0" w:color="auto"/>
              <w:right w:val="single" w:sz="4" w:space="0" w:color="auto"/>
            </w:tcBorders>
            <w:shd w:val="clear" w:color="auto" w:fill="auto"/>
            <w:vAlign w:val="center"/>
            <w:hideMark/>
          </w:tcPr>
          <w:p w:rsidR="005065B6" w:rsidRPr="005065B6" w:rsidRDefault="005065B6" w:rsidP="005065B6">
            <w:pPr>
              <w:spacing w:after="0" w:line="240" w:lineRule="auto"/>
              <w:rPr>
                <w:rFonts w:ascii="Times New Roman" w:eastAsia="Times New Roman" w:hAnsi="Times New Roman" w:cs="Times New Roman"/>
                <w:color w:val="000000"/>
                <w:sz w:val="24"/>
                <w:szCs w:val="24"/>
                <w:lang w:eastAsia="en-IN"/>
              </w:rPr>
            </w:pPr>
            <w:r w:rsidRPr="005065B6">
              <w:rPr>
                <w:rFonts w:ascii="Times New Roman" w:eastAsia="Times New Roman" w:hAnsi="Times New Roman" w:cs="Times New Roman"/>
                <w:color w:val="000000"/>
                <w:sz w:val="24"/>
                <w:szCs w:val="24"/>
                <w:lang w:eastAsia="en-IN"/>
              </w:rPr>
              <w:t>Reserve Bank - Integrated Ombudsman Scheme, 2021 (RBIOS, 2021)</w:t>
            </w:r>
          </w:p>
        </w:tc>
      </w:tr>
      <w:tr w:rsidR="005065B6" w:rsidRPr="005065B6" w:rsidTr="005065B6">
        <w:trPr>
          <w:trHeight w:val="510"/>
        </w:trPr>
        <w:tc>
          <w:tcPr>
            <w:tcW w:w="657" w:type="dxa"/>
            <w:tcBorders>
              <w:top w:val="nil"/>
              <w:left w:val="single" w:sz="4" w:space="0" w:color="auto"/>
              <w:bottom w:val="single" w:sz="4" w:space="0" w:color="auto"/>
              <w:right w:val="single" w:sz="4" w:space="0" w:color="auto"/>
            </w:tcBorders>
            <w:shd w:val="clear" w:color="auto" w:fill="auto"/>
            <w:noWrap/>
            <w:vAlign w:val="center"/>
            <w:hideMark/>
          </w:tcPr>
          <w:p w:rsidR="005065B6" w:rsidRPr="005065B6" w:rsidRDefault="005065B6" w:rsidP="005065B6">
            <w:pPr>
              <w:spacing w:after="0" w:line="240" w:lineRule="auto"/>
              <w:jc w:val="center"/>
              <w:rPr>
                <w:rFonts w:ascii="Times New Roman" w:eastAsia="Times New Roman" w:hAnsi="Times New Roman" w:cs="Times New Roman"/>
                <w:color w:val="000000"/>
                <w:sz w:val="24"/>
                <w:szCs w:val="24"/>
                <w:lang w:eastAsia="en-IN"/>
              </w:rPr>
            </w:pPr>
            <w:r w:rsidRPr="005065B6">
              <w:rPr>
                <w:rFonts w:ascii="Times New Roman" w:eastAsia="Times New Roman" w:hAnsi="Times New Roman" w:cs="Times New Roman"/>
                <w:color w:val="000000"/>
                <w:sz w:val="24"/>
                <w:szCs w:val="24"/>
                <w:lang w:eastAsia="en-IN"/>
              </w:rPr>
              <w:t>17</w:t>
            </w:r>
          </w:p>
        </w:tc>
        <w:tc>
          <w:tcPr>
            <w:tcW w:w="8836" w:type="dxa"/>
            <w:tcBorders>
              <w:top w:val="nil"/>
              <w:left w:val="nil"/>
              <w:bottom w:val="single" w:sz="4" w:space="0" w:color="auto"/>
              <w:right w:val="single" w:sz="4" w:space="0" w:color="auto"/>
            </w:tcBorders>
            <w:shd w:val="clear" w:color="auto" w:fill="auto"/>
            <w:vAlign w:val="center"/>
            <w:hideMark/>
          </w:tcPr>
          <w:p w:rsidR="005065B6" w:rsidRPr="005065B6" w:rsidRDefault="005065B6" w:rsidP="005065B6">
            <w:pPr>
              <w:spacing w:after="0" w:line="240" w:lineRule="auto"/>
              <w:rPr>
                <w:rFonts w:ascii="Times New Roman" w:eastAsia="Times New Roman" w:hAnsi="Times New Roman" w:cs="Times New Roman"/>
                <w:sz w:val="24"/>
                <w:szCs w:val="24"/>
                <w:lang w:eastAsia="en-IN"/>
              </w:rPr>
            </w:pPr>
            <w:r w:rsidRPr="005065B6">
              <w:rPr>
                <w:rFonts w:ascii="Times New Roman" w:eastAsia="Times New Roman" w:hAnsi="Times New Roman" w:cs="Times New Roman"/>
                <w:sz w:val="24"/>
                <w:szCs w:val="24"/>
                <w:lang w:eastAsia="en-IN"/>
              </w:rPr>
              <w:t>Authorised Dealer Category-I License eligibility for Small Finance Banks</w:t>
            </w:r>
          </w:p>
        </w:tc>
      </w:tr>
      <w:tr w:rsidR="005065B6" w:rsidRPr="005065B6" w:rsidTr="005065B6">
        <w:trPr>
          <w:trHeight w:val="510"/>
        </w:trPr>
        <w:tc>
          <w:tcPr>
            <w:tcW w:w="657" w:type="dxa"/>
            <w:tcBorders>
              <w:top w:val="nil"/>
              <w:left w:val="single" w:sz="4" w:space="0" w:color="auto"/>
              <w:bottom w:val="single" w:sz="4" w:space="0" w:color="auto"/>
              <w:right w:val="single" w:sz="4" w:space="0" w:color="auto"/>
            </w:tcBorders>
            <w:shd w:val="clear" w:color="auto" w:fill="auto"/>
            <w:noWrap/>
            <w:vAlign w:val="center"/>
            <w:hideMark/>
          </w:tcPr>
          <w:p w:rsidR="005065B6" w:rsidRPr="005065B6" w:rsidRDefault="005065B6" w:rsidP="005065B6">
            <w:pPr>
              <w:spacing w:after="0" w:line="240" w:lineRule="auto"/>
              <w:jc w:val="center"/>
              <w:rPr>
                <w:rFonts w:ascii="Times New Roman" w:eastAsia="Times New Roman" w:hAnsi="Times New Roman" w:cs="Times New Roman"/>
                <w:color w:val="000000"/>
                <w:sz w:val="24"/>
                <w:szCs w:val="24"/>
                <w:lang w:eastAsia="en-IN"/>
              </w:rPr>
            </w:pPr>
            <w:r w:rsidRPr="005065B6">
              <w:rPr>
                <w:rFonts w:ascii="Times New Roman" w:eastAsia="Times New Roman" w:hAnsi="Times New Roman" w:cs="Times New Roman"/>
                <w:color w:val="000000"/>
                <w:sz w:val="24"/>
                <w:szCs w:val="24"/>
                <w:lang w:eastAsia="en-IN"/>
              </w:rPr>
              <w:t>18</w:t>
            </w:r>
          </w:p>
        </w:tc>
        <w:tc>
          <w:tcPr>
            <w:tcW w:w="8836" w:type="dxa"/>
            <w:tcBorders>
              <w:top w:val="nil"/>
              <w:left w:val="nil"/>
              <w:bottom w:val="single" w:sz="4" w:space="0" w:color="auto"/>
              <w:right w:val="single" w:sz="4" w:space="0" w:color="auto"/>
            </w:tcBorders>
            <w:shd w:val="clear" w:color="auto" w:fill="auto"/>
            <w:vAlign w:val="center"/>
            <w:hideMark/>
          </w:tcPr>
          <w:p w:rsidR="005065B6" w:rsidRPr="005065B6" w:rsidRDefault="005065B6" w:rsidP="005065B6">
            <w:pPr>
              <w:spacing w:after="0" w:line="240" w:lineRule="auto"/>
              <w:rPr>
                <w:rFonts w:ascii="Times New Roman" w:eastAsia="Times New Roman" w:hAnsi="Times New Roman" w:cs="Times New Roman"/>
                <w:color w:val="000000"/>
                <w:sz w:val="24"/>
                <w:szCs w:val="24"/>
                <w:lang w:eastAsia="en-IN"/>
              </w:rPr>
            </w:pPr>
            <w:r w:rsidRPr="005065B6">
              <w:rPr>
                <w:rFonts w:ascii="Times New Roman" w:eastAsia="Times New Roman" w:hAnsi="Times New Roman" w:cs="Times New Roman"/>
                <w:color w:val="000000"/>
                <w:sz w:val="24"/>
                <w:szCs w:val="24"/>
                <w:lang w:eastAsia="en-IN"/>
              </w:rPr>
              <w:t>Rupee Interest Rate Derivatives (Reserve Bank) Directions - Review</w:t>
            </w:r>
          </w:p>
        </w:tc>
      </w:tr>
      <w:tr w:rsidR="005065B6" w:rsidRPr="005065B6" w:rsidTr="00595F75">
        <w:trPr>
          <w:trHeight w:val="1275"/>
        </w:trPr>
        <w:tc>
          <w:tcPr>
            <w:tcW w:w="657" w:type="dxa"/>
            <w:tcBorders>
              <w:top w:val="nil"/>
              <w:left w:val="single" w:sz="4" w:space="0" w:color="auto"/>
              <w:bottom w:val="single" w:sz="4" w:space="0" w:color="auto"/>
              <w:right w:val="single" w:sz="4" w:space="0" w:color="auto"/>
            </w:tcBorders>
            <w:shd w:val="clear" w:color="auto" w:fill="auto"/>
            <w:noWrap/>
            <w:vAlign w:val="center"/>
            <w:hideMark/>
          </w:tcPr>
          <w:p w:rsidR="005065B6" w:rsidRPr="005065B6" w:rsidRDefault="005065B6" w:rsidP="005065B6">
            <w:pPr>
              <w:spacing w:after="0" w:line="240" w:lineRule="auto"/>
              <w:jc w:val="center"/>
              <w:rPr>
                <w:rFonts w:ascii="Times New Roman" w:eastAsia="Times New Roman" w:hAnsi="Times New Roman" w:cs="Times New Roman"/>
                <w:color w:val="000000"/>
                <w:sz w:val="24"/>
                <w:szCs w:val="24"/>
                <w:lang w:eastAsia="en-IN"/>
              </w:rPr>
            </w:pPr>
            <w:r w:rsidRPr="005065B6">
              <w:rPr>
                <w:rFonts w:ascii="Times New Roman" w:eastAsia="Times New Roman" w:hAnsi="Times New Roman" w:cs="Times New Roman"/>
                <w:color w:val="000000"/>
                <w:sz w:val="24"/>
                <w:szCs w:val="24"/>
                <w:lang w:eastAsia="en-IN"/>
              </w:rPr>
              <w:t>19</w:t>
            </w:r>
          </w:p>
        </w:tc>
        <w:tc>
          <w:tcPr>
            <w:tcW w:w="8836" w:type="dxa"/>
            <w:tcBorders>
              <w:top w:val="nil"/>
              <w:left w:val="nil"/>
              <w:bottom w:val="single" w:sz="4" w:space="0" w:color="auto"/>
              <w:right w:val="single" w:sz="4" w:space="0" w:color="auto"/>
            </w:tcBorders>
            <w:shd w:val="clear" w:color="auto" w:fill="auto"/>
            <w:vAlign w:val="center"/>
            <w:hideMark/>
          </w:tcPr>
          <w:p w:rsidR="005065B6" w:rsidRPr="005065B6" w:rsidRDefault="005065B6" w:rsidP="005065B6">
            <w:pPr>
              <w:spacing w:after="0" w:line="240" w:lineRule="auto"/>
              <w:rPr>
                <w:rFonts w:ascii="Times New Roman" w:eastAsia="Times New Roman" w:hAnsi="Times New Roman" w:cs="Times New Roman"/>
                <w:color w:val="000000"/>
                <w:sz w:val="24"/>
                <w:szCs w:val="24"/>
                <w:lang w:eastAsia="en-IN"/>
              </w:rPr>
            </w:pPr>
            <w:r w:rsidRPr="005065B6">
              <w:rPr>
                <w:rFonts w:ascii="Times New Roman" w:eastAsia="Times New Roman" w:hAnsi="Times New Roman" w:cs="Times New Roman"/>
                <w:color w:val="000000"/>
                <w:sz w:val="24"/>
                <w:szCs w:val="24"/>
                <w:lang w:eastAsia="en-IN"/>
              </w:rPr>
              <w:t>Section 23 of the Banking Regulation Act, 1949 (As Applicable to Co-operative Societies) – Opening of new place of business by District Central Co-operative Banks (DCCBs)</w:t>
            </w:r>
          </w:p>
        </w:tc>
      </w:tr>
      <w:tr w:rsidR="005065B6" w:rsidRPr="00595F75" w:rsidTr="00595F75">
        <w:trPr>
          <w:trHeight w:val="557"/>
        </w:trPr>
        <w:tc>
          <w:tcPr>
            <w:tcW w:w="657" w:type="dxa"/>
            <w:tcBorders>
              <w:top w:val="single" w:sz="4" w:space="0" w:color="auto"/>
              <w:left w:val="single" w:sz="4" w:space="0" w:color="auto"/>
              <w:bottom w:val="single" w:sz="4" w:space="0" w:color="auto"/>
              <w:right w:val="single" w:sz="4" w:space="0" w:color="auto"/>
            </w:tcBorders>
            <w:shd w:val="clear" w:color="auto" w:fill="auto"/>
            <w:noWrap/>
            <w:vAlign w:val="center"/>
          </w:tcPr>
          <w:p w:rsidR="005065B6" w:rsidRPr="005065B6" w:rsidRDefault="005065B6" w:rsidP="005065B6">
            <w:pPr>
              <w:spacing w:after="0" w:line="240" w:lineRule="auto"/>
              <w:jc w:val="center"/>
              <w:rPr>
                <w:rFonts w:ascii="Times New Roman" w:eastAsia="Times New Roman" w:hAnsi="Times New Roman" w:cs="Times New Roman"/>
                <w:b/>
                <w:bCs/>
                <w:sz w:val="24"/>
                <w:szCs w:val="24"/>
                <w:lang w:eastAsia="en-IN"/>
              </w:rPr>
            </w:pPr>
            <w:proofErr w:type="spellStart"/>
            <w:r w:rsidRPr="005065B6">
              <w:rPr>
                <w:rFonts w:ascii="Times New Roman" w:eastAsia="Times New Roman" w:hAnsi="Times New Roman" w:cs="Times New Roman"/>
                <w:b/>
                <w:bCs/>
                <w:sz w:val="24"/>
                <w:szCs w:val="24"/>
                <w:lang w:eastAsia="en-IN"/>
              </w:rPr>
              <w:lastRenderedPageBreak/>
              <w:t>S.No</w:t>
            </w:r>
            <w:proofErr w:type="spellEnd"/>
            <w:r w:rsidRPr="005065B6">
              <w:rPr>
                <w:rFonts w:ascii="Times New Roman" w:eastAsia="Times New Roman" w:hAnsi="Times New Roman" w:cs="Times New Roman"/>
                <w:b/>
                <w:bCs/>
                <w:sz w:val="24"/>
                <w:szCs w:val="24"/>
                <w:lang w:eastAsia="en-IN"/>
              </w:rPr>
              <w:t>.</w:t>
            </w:r>
          </w:p>
        </w:tc>
        <w:tc>
          <w:tcPr>
            <w:tcW w:w="8836" w:type="dxa"/>
            <w:tcBorders>
              <w:top w:val="single" w:sz="4" w:space="0" w:color="auto"/>
              <w:left w:val="single" w:sz="4" w:space="0" w:color="auto"/>
              <w:bottom w:val="single" w:sz="4" w:space="0" w:color="auto"/>
              <w:right w:val="single" w:sz="4" w:space="0" w:color="auto"/>
            </w:tcBorders>
            <w:shd w:val="clear" w:color="auto" w:fill="auto"/>
            <w:vAlign w:val="center"/>
          </w:tcPr>
          <w:p w:rsidR="005065B6" w:rsidRPr="005065B6" w:rsidRDefault="005065B6" w:rsidP="005065B6">
            <w:pPr>
              <w:spacing w:after="0" w:line="240" w:lineRule="auto"/>
              <w:jc w:val="center"/>
              <w:rPr>
                <w:rFonts w:ascii="Times New Roman" w:eastAsia="Times New Roman" w:hAnsi="Times New Roman" w:cs="Times New Roman"/>
                <w:b/>
                <w:bCs/>
                <w:sz w:val="24"/>
                <w:szCs w:val="24"/>
                <w:lang w:eastAsia="en-IN"/>
              </w:rPr>
            </w:pPr>
            <w:r w:rsidRPr="005065B6">
              <w:rPr>
                <w:rFonts w:ascii="Times New Roman" w:eastAsia="Times New Roman" w:hAnsi="Times New Roman" w:cs="Times New Roman"/>
                <w:b/>
                <w:bCs/>
                <w:sz w:val="24"/>
                <w:szCs w:val="24"/>
                <w:lang w:eastAsia="en-IN"/>
              </w:rPr>
              <w:t>RBI Notifications</w:t>
            </w:r>
          </w:p>
        </w:tc>
      </w:tr>
      <w:tr w:rsidR="005065B6" w:rsidRPr="005065B6" w:rsidTr="00595F75">
        <w:trPr>
          <w:trHeight w:val="497"/>
        </w:trPr>
        <w:tc>
          <w:tcPr>
            <w:tcW w:w="6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065B6" w:rsidRPr="005065B6" w:rsidRDefault="005065B6" w:rsidP="005065B6">
            <w:pPr>
              <w:spacing w:after="0" w:line="240" w:lineRule="auto"/>
              <w:jc w:val="center"/>
              <w:rPr>
                <w:rFonts w:ascii="Times New Roman" w:eastAsia="Times New Roman" w:hAnsi="Times New Roman" w:cs="Times New Roman"/>
                <w:color w:val="000000"/>
                <w:sz w:val="24"/>
                <w:szCs w:val="24"/>
                <w:lang w:eastAsia="en-IN"/>
              </w:rPr>
            </w:pPr>
            <w:r w:rsidRPr="005065B6">
              <w:rPr>
                <w:rFonts w:ascii="Times New Roman" w:eastAsia="Times New Roman" w:hAnsi="Times New Roman" w:cs="Times New Roman"/>
                <w:color w:val="000000"/>
                <w:sz w:val="24"/>
                <w:szCs w:val="24"/>
                <w:lang w:eastAsia="en-IN"/>
              </w:rPr>
              <w:t>20</w:t>
            </w:r>
          </w:p>
        </w:tc>
        <w:tc>
          <w:tcPr>
            <w:tcW w:w="88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065B6" w:rsidRPr="005065B6" w:rsidRDefault="005065B6" w:rsidP="005065B6">
            <w:pPr>
              <w:spacing w:after="0" w:line="240" w:lineRule="auto"/>
              <w:rPr>
                <w:rFonts w:ascii="Times New Roman" w:eastAsia="Times New Roman" w:hAnsi="Times New Roman" w:cs="Times New Roman"/>
                <w:color w:val="000000"/>
                <w:sz w:val="24"/>
                <w:szCs w:val="24"/>
                <w:lang w:eastAsia="en-IN"/>
              </w:rPr>
            </w:pPr>
            <w:r w:rsidRPr="005065B6">
              <w:rPr>
                <w:rFonts w:ascii="Times New Roman" w:eastAsia="Times New Roman" w:hAnsi="Times New Roman" w:cs="Times New Roman"/>
                <w:color w:val="000000"/>
                <w:sz w:val="24"/>
                <w:szCs w:val="24"/>
                <w:lang w:eastAsia="en-IN"/>
              </w:rPr>
              <w:t>Bilateral Netting of Qualified Financial Contracts - Amendments to Prudential Guidelines</w:t>
            </w:r>
          </w:p>
        </w:tc>
      </w:tr>
      <w:tr w:rsidR="005065B6" w:rsidRPr="005065B6" w:rsidTr="00595F75">
        <w:trPr>
          <w:trHeight w:val="561"/>
        </w:trPr>
        <w:tc>
          <w:tcPr>
            <w:tcW w:w="6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065B6" w:rsidRPr="005065B6" w:rsidRDefault="005065B6" w:rsidP="005065B6">
            <w:pPr>
              <w:spacing w:after="0" w:line="240" w:lineRule="auto"/>
              <w:jc w:val="center"/>
              <w:rPr>
                <w:rFonts w:ascii="Times New Roman" w:eastAsia="Times New Roman" w:hAnsi="Times New Roman" w:cs="Times New Roman"/>
                <w:color w:val="000000"/>
                <w:sz w:val="24"/>
                <w:szCs w:val="24"/>
                <w:lang w:eastAsia="en-IN"/>
              </w:rPr>
            </w:pPr>
            <w:r w:rsidRPr="005065B6">
              <w:rPr>
                <w:rFonts w:ascii="Times New Roman" w:eastAsia="Times New Roman" w:hAnsi="Times New Roman" w:cs="Times New Roman"/>
                <w:color w:val="000000"/>
                <w:sz w:val="24"/>
                <w:szCs w:val="24"/>
                <w:lang w:eastAsia="en-IN"/>
              </w:rPr>
              <w:t>21</w:t>
            </w:r>
          </w:p>
        </w:tc>
        <w:tc>
          <w:tcPr>
            <w:tcW w:w="88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065B6" w:rsidRPr="005065B6" w:rsidRDefault="005065B6" w:rsidP="005065B6">
            <w:pPr>
              <w:spacing w:after="0" w:line="240" w:lineRule="auto"/>
              <w:rPr>
                <w:rFonts w:ascii="Times New Roman" w:eastAsia="Times New Roman" w:hAnsi="Times New Roman" w:cs="Times New Roman"/>
                <w:color w:val="000000"/>
                <w:sz w:val="24"/>
                <w:szCs w:val="24"/>
                <w:lang w:eastAsia="en-IN"/>
              </w:rPr>
            </w:pPr>
            <w:r w:rsidRPr="005065B6">
              <w:rPr>
                <w:rFonts w:ascii="Times New Roman" w:eastAsia="Times New Roman" w:hAnsi="Times New Roman" w:cs="Times New Roman"/>
                <w:color w:val="000000"/>
                <w:sz w:val="24"/>
                <w:szCs w:val="24"/>
                <w:lang w:eastAsia="en-IN"/>
              </w:rPr>
              <w:t>Outsourcing of Financial Services - Responsibilities of regulated entities employing Recovery Agents</w:t>
            </w:r>
          </w:p>
        </w:tc>
      </w:tr>
      <w:tr w:rsidR="005065B6" w:rsidRPr="005065B6" w:rsidTr="00595F75">
        <w:trPr>
          <w:trHeight w:val="510"/>
        </w:trPr>
        <w:tc>
          <w:tcPr>
            <w:tcW w:w="6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065B6" w:rsidRPr="005065B6" w:rsidRDefault="005065B6" w:rsidP="005065B6">
            <w:pPr>
              <w:spacing w:after="0" w:line="240" w:lineRule="auto"/>
              <w:jc w:val="center"/>
              <w:rPr>
                <w:rFonts w:ascii="Times New Roman" w:eastAsia="Times New Roman" w:hAnsi="Times New Roman" w:cs="Times New Roman"/>
                <w:color w:val="000000"/>
                <w:sz w:val="24"/>
                <w:szCs w:val="24"/>
                <w:lang w:eastAsia="en-IN"/>
              </w:rPr>
            </w:pPr>
            <w:r w:rsidRPr="005065B6">
              <w:rPr>
                <w:rFonts w:ascii="Times New Roman" w:eastAsia="Times New Roman" w:hAnsi="Times New Roman" w:cs="Times New Roman"/>
                <w:color w:val="000000"/>
                <w:sz w:val="24"/>
                <w:szCs w:val="24"/>
                <w:lang w:eastAsia="en-IN"/>
              </w:rPr>
              <w:t>22</w:t>
            </w:r>
          </w:p>
        </w:tc>
        <w:tc>
          <w:tcPr>
            <w:tcW w:w="88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065B6" w:rsidRPr="005065B6" w:rsidRDefault="005065B6" w:rsidP="005065B6">
            <w:pPr>
              <w:spacing w:after="0" w:line="240" w:lineRule="auto"/>
              <w:rPr>
                <w:rFonts w:ascii="Times New Roman" w:eastAsia="Times New Roman" w:hAnsi="Times New Roman" w:cs="Times New Roman"/>
                <w:color w:val="000000"/>
                <w:sz w:val="24"/>
                <w:szCs w:val="24"/>
                <w:lang w:eastAsia="en-IN"/>
              </w:rPr>
            </w:pPr>
            <w:r w:rsidRPr="005065B6">
              <w:rPr>
                <w:rFonts w:ascii="Times New Roman" w:eastAsia="Times New Roman" w:hAnsi="Times New Roman" w:cs="Times New Roman"/>
                <w:color w:val="000000"/>
                <w:sz w:val="24"/>
                <w:szCs w:val="24"/>
                <w:lang w:eastAsia="en-IN"/>
              </w:rPr>
              <w:t>Foreign Exchange Management (Overseas Investment) Regulations, 2022</w:t>
            </w:r>
          </w:p>
        </w:tc>
      </w:tr>
      <w:tr w:rsidR="005065B6" w:rsidRPr="005065B6" w:rsidTr="00595F75">
        <w:trPr>
          <w:trHeight w:val="510"/>
        </w:trPr>
        <w:tc>
          <w:tcPr>
            <w:tcW w:w="6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065B6" w:rsidRPr="005065B6" w:rsidRDefault="005065B6" w:rsidP="005065B6">
            <w:pPr>
              <w:spacing w:after="0" w:line="240" w:lineRule="auto"/>
              <w:jc w:val="center"/>
              <w:rPr>
                <w:rFonts w:ascii="Times New Roman" w:eastAsia="Times New Roman" w:hAnsi="Times New Roman" w:cs="Times New Roman"/>
                <w:color w:val="000000"/>
                <w:sz w:val="24"/>
                <w:szCs w:val="24"/>
                <w:lang w:eastAsia="en-IN"/>
              </w:rPr>
            </w:pPr>
            <w:r w:rsidRPr="005065B6">
              <w:rPr>
                <w:rFonts w:ascii="Times New Roman" w:eastAsia="Times New Roman" w:hAnsi="Times New Roman" w:cs="Times New Roman"/>
                <w:color w:val="000000"/>
                <w:sz w:val="24"/>
                <w:szCs w:val="24"/>
                <w:lang w:eastAsia="en-IN"/>
              </w:rPr>
              <w:t>23</w:t>
            </w:r>
          </w:p>
        </w:tc>
        <w:tc>
          <w:tcPr>
            <w:tcW w:w="88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065B6" w:rsidRPr="005065B6" w:rsidRDefault="005065B6" w:rsidP="005065B6">
            <w:pPr>
              <w:spacing w:after="0" w:line="240" w:lineRule="auto"/>
              <w:rPr>
                <w:rFonts w:ascii="Times New Roman" w:eastAsia="Times New Roman" w:hAnsi="Times New Roman" w:cs="Times New Roman"/>
                <w:color w:val="000000"/>
                <w:sz w:val="24"/>
                <w:szCs w:val="24"/>
                <w:lang w:eastAsia="en-IN"/>
              </w:rPr>
            </w:pPr>
            <w:r w:rsidRPr="005065B6">
              <w:rPr>
                <w:rFonts w:ascii="Times New Roman" w:eastAsia="Times New Roman" w:hAnsi="Times New Roman" w:cs="Times New Roman"/>
                <w:color w:val="000000"/>
                <w:sz w:val="24"/>
                <w:szCs w:val="24"/>
                <w:lang w:eastAsia="en-IN"/>
              </w:rPr>
              <w:t>Foreign Exchange Management (Overseas Investment) Directions, 2022</w:t>
            </w:r>
          </w:p>
        </w:tc>
      </w:tr>
      <w:tr w:rsidR="005065B6" w:rsidRPr="005065B6" w:rsidTr="00595F75">
        <w:trPr>
          <w:trHeight w:val="523"/>
        </w:trPr>
        <w:tc>
          <w:tcPr>
            <w:tcW w:w="6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065B6" w:rsidRPr="005065B6" w:rsidRDefault="005065B6" w:rsidP="005065B6">
            <w:pPr>
              <w:spacing w:after="0" w:line="240" w:lineRule="auto"/>
              <w:jc w:val="center"/>
              <w:rPr>
                <w:rFonts w:ascii="Times New Roman" w:eastAsia="Times New Roman" w:hAnsi="Times New Roman" w:cs="Times New Roman"/>
                <w:color w:val="000000"/>
                <w:sz w:val="24"/>
                <w:szCs w:val="24"/>
                <w:lang w:eastAsia="en-IN"/>
              </w:rPr>
            </w:pPr>
            <w:r w:rsidRPr="005065B6">
              <w:rPr>
                <w:rFonts w:ascii="Times New Roman" w:eastAsia="Times New Roman" w:hAnsi="Times New Roman" w:cs="Times New Roman"/>
                <w:color w:val="000000"/>
                <w:sz w:val="24"/>
                <w:szCs w:val="24"/>
                <w:lang w:eastAsia="en-IN"/>
              </w:rPr>
              <w:t>24</w:t>
            </w:r>
          </w:p>
        </w:tc>
        <w:tc>
          <w:tcPr>
            <w:tcW w:w="88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065B6" w:rsidRPr="005065B6" w:rsidRDefault="005065B6" w:rsidP="005065B6">
            <w:pPr>
              <w:spacing w:after="0" w:line="240" w:lineRule="auto"/>
              <w:rPr>
                <w:rFonts w:ascii="Times New Roman" w:eastAsia="Times New Roman" w:hAnsi="Times New Roman" w:cs="Times New Roman"/>
                <w:color w:val="000000"/>
                <w:sz w:val="24"/>
                <w:szCs w:val="24"/>
                <w:lang w:eastAsia="en-IN"/>
              </w:rPr>
            </w:pPr>
            <w:r w:rsidRPr="005065B6">
              <w:rPr>
                <w:rFonts w:ascii="Times New Roman" w:eastAsia="Times New Roman" w:hAnsi="Times New Roman" w:cs="Times New Roman"/>
                <w:color w:val="000000"/>
                <w:sz w:val="24"/>
                <w:szCs w:val="24"/>
                <w:lang w:eastAsia="en-IN"/>
              </w:rPr>
              <w:t>Guidelines on Digital Lending</w:t>
            </w:r>
          </w:p>
        </w:tc>
      </w:tr>
      <w:tr w:rsidR="005065B6" w:rsidRPr="005065B6" w:rsidTr="00595F75">
        <w:trPr>
          <w:trHeight w:val="510"/>
        </w:trPr>
        <w:tc>
          <w:tcPr>
            <w:tcW w:w="6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065B6" w:rsidRPr="005065B6" w:rsidRDefault="005065B6" w:rsidP="005065B6">
            <w:pPr>
              <w:spacing w:after="0" w:line="240" w:lineRule="auto"/>
              <w:jc w:val="center"/>
              <w:rPr>
                <w:rFonts w:ascii="Times New Roman" w:eastAsia="Times New Roman" w:hAnsi="Times New Roman" w:cs="Times New Roman"/>
                <w:color w:val="000000"/>
                <w:sz w:val="24"/>
                <w:szCs w:val="24"/>
                <w:lang w:eastAsia="en-IN"/>
              </w:rPr>
            </w:pPr>
            <w:r w:rsidRPr="005065B6">
              <w:rPr>
                <w:rFonts w:ascii="Times New Roman" w:eastAsia="Times New Roman" w:hAnsi="Times New Roman" w:cs="Times New Roman"/>
                <w:color w:val="000000"/>
                <w:sz w:val="24"/>
                <w:szCs w:val="24"/>
                <w:lang w:eastAsia="en-IN"/>
              </w:rPr>
              <w:t>25</w:t>
            </w:r>
          </w:p>
        </w:tc>
        <w:tc>
          <w:tcPr>
            <w:tcW w:w="88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065B6" w:rsidRPr="005065B6" w:rsidRDefault="005065B6" w:rsidP="005065B6">
            <w:pPr>
              <w:spacing w:after="0" w:line="240" w:lineRule="auto"/>
              <w:rPr>
                <w:rFonts w:ascii="Times New Roman" w:eastAsia="Times New Roman" w:hAnsi="Times New Roman" w:cs="Times New Roman"/>
                <w:color w:val="000000"/>
                <w:sz w:val="24"/>
                <w:szCs w:val="24"/>
                <w:lang w:eastAsia="en-IN"/>
              </w:rPr>
            </w:pPr>
            <w:r w:rsidRPr="005065B6">
              <w:rPr>
                <w:rFonts w:ascii="Times New Roman" w:eastAsia="Times New Roman" w:hAnsi="Times New Roman" w:cs="Times New Roman"/>
                <w:color w:val="000000"/>
                <w:sz w:val="24"/>
                <w:szCs w:val="24"/>
                <w:lang w:eastAsia="en-IN"/>
              </w:rPr>
              <w:t>Incentive for improving service to non-chest branches</w:t>
            </w:r>
          </w:p>
        </w:tc>
      </w:tr>
      <w:tr w:rsidR="005065B6" w:rsidRPr="005065B6" w:rsidTr="00595F75">
        <w:trPr>
          <w:trHeight w:val="535"/>
        </w:trPr>
        <w:tc>
          <w:tcPr>
            <w:tcW w:w="6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065B6" w:rsidRPr="005065B6" w:rsidRDefault="005065B6" w:rsidP="005065B6">
            <w:pPr>
              <w:spacing w:after="0" w:line="240" w:lineRule="auto"/>
              <w:jc w:val="center"/>
              <w:rPr>
                <w:rFonts w:ascii="Times New Roman" w:eastAsia="Times New Roman" w:hAnsi="Times New Roman" w:cs="Times New Roman"/>
                <w:color w:val="000000"/>
                <w:sz w:val="24"/>
                <w:szCs w:val="24"/>
                <w:lang w:eastAsia="en-IN"/>
              </w:rPr>
            </w:pPr>
            <w:r w:rsidRPr="005065B6">
              <w:rPr>
                <w:rFonts w:ascii="Times New Roman" w:eastAsia="Times New Roman" w:hAnsi="Times New Roman" w:cs="Times New Roman"/>
                <w:color w:val="000000"/>
                <w:sz w:val="24"/>
                <w:szCs w:val="24"/>
                <w:lang w:eastAsia="en-IN"/>
              </w:rPr>
              <w:t>26</w:t>
            </w:r>
          </w:p>
        </w:tc>
        <w:tc>
          <w:tcPr>
            <w:tcW w:w="88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065B6" w:rsidRPr="005065B6" w:rsidRDefault="005065B6" w:rsidP="005065B6">
            <w:pPr>
              <w:spacing w:after="0" w:line="240" w:lineRule="auto"/>
              <w:rPr>
                <w:rFonts w:ascii="Times New Roman" w:eastAsia="Times New Roman" w:hAnsi="Times New Roman" w:cs="Times New Roman"/>
                <w:color w:val="000000"/>
                <w:sz w:val="24"/>
                <w:szCs w:val="24"/>
                <w:lang w:eastAsia="en-IN"/>
              </w:rPr>
            </w:pPr>
            <w:r w:rsidRPr="005065B6">
              <w:rPr>
                <w:rFonts w:ascii="Times New Roman" w:eastAsia="Times New Roman" w:hAnsi="Times New Roman" w:cs="Times New Roman"/>
                <w:color w:val="000000"/>
                <w:sz w:val="24"/>
                <w:szCs w:val="24"/>
                <w:lang w:eastAsia="en-IN"/>
              </w:rPr>
              <w:t>Review of Prudential Norms – Risk Weights for Exposures guaranteed by Credit Guarantee Schemes (CGS)</w:t>
            </w:r>
          </w:p>
        </w:tc>
      </w:tr>
      <w:tr w:rsidR="005065B6" w:rsidRPr="005065B6" w:rsidTr="00595F75">
        <w:trPr>
          <w:trHeight w:val="758"/>
        </w:trPr>
        <w:tc>
          <w:tcPr>
            <w:tcW w:w="6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065B6" w:rsidRPr="005065B6" w:rsidRDefault="005065B6" w:rsidP="005065B6">
            <w:pPr>
              <w:spacing w:after="0" w:line="240" w:lineRule="auto"/>
              <w:jc w:val="center"/>
              <w:rPr>
                <w:rFonts w:ascii="Times New Roman" w:eastAsia="Times New Roman" w:hAnsi="Times New Roman" w:cs="Times New Roman"/>
                <w:color w:val="000000"/>
                <w:sz w:val="24"/>
                <w:szCs w:val="24"/>
                <w:lang w:eastAsia="en-IN"/>
              </w:rPr>
            </w:pPr>
            <w:r w:rsidRPr="005065B6">
              <w:rPr>
                <w:rFonts w:ascii="Times New Roman" w:eastAsia="Times New Roman" w:hAnsi="Times New Roman" w:cs="Times New Roman"/>
                <w:color w:val="000000"/>
                <w:sz w:val="24"/>
                <w:szCs w:val="24"/>
                <w:lang w:eastAsia="en-IN"/>
              </w:rPr>
              <w:t>27</w:t>
            </w:r>
          </w:p>
        </w:tc>
        <w:tc>
          <w:tcPr>
            <w:tcW w:w="88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065B6" w:rsidRPr="005065B6" w:rsidRDefault="005065B6" w:rsidP="005065B6">
            <w:pPr>
              <w:spacing w:after="0" w:line="240" w:lineRule="auto"/>
              <w:rPr>
                <w:rFonts w:ascii="Times New Roman" w:eastAsia="Times New Roman" w:hAnsi="Times New Roman" w:cs="Times New Roman"/>
                <w:color w:val="000000"/>
                <w:sz w:val="24"/>
                <w:szCs w:val="24"/>
                <w:lang w:eastAsia="en-IN"/>
              </w:rPr>
            </w:pPr>
            <w:r w:rsidRPr="005065B6">
              <w:rPr>
                <w:rFonts w:ascii="Times New Roman" w:eastAsia="Times New Roman" w:hAnsi="Times New Roman" w:cs="Times New Roman"/>
                <w:color w:val="000000"/>
                <w:sz w:val="24"/>
                <w:szCs w:val="24"/>
                <w:lang w:eastAsia="en-IN"/>
              </w:rPr>
              <w:t>Rupee Drawing Arrangement - Enabling Bharat Bill Payment System (BBPS) to process cross-border inbound Bill Payments</w:t>
            </w:r>
          </w:p>
        </w:tc>
      </w:tr>
      <w:tr w:rsidR="005065B6" w:rsidRPr="005065B6" w:rsidTr="00595F75">
        <w:trPr>
          <w:trHeight w:val="510"/>
        </w:trPr>
        <w:tc>
          <w:tcPr>
            <w:tcW w:w="6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065B6" w:rsidRPr="005065B6" w:rsidRDefault="005065B6" w:rsidP="005065B6">
            <w:pPr>
              <w:spacing w:after="0" w:line="240" w:lineRule="auto"/>
              <w:jc w:val="center"/>
              <w:rPr>
                <w:rFonts w:ascii="Times New Roman" w:eastAsia="Times New Roman" w:hAnsi="Times New Roman" w:cs="Times New Roman"/>
                <w:color w:val="000000"/>
                <w:sz w:val="24"/>
                <w:szCs w:val="24"/>
                <w:lang w:eastAsia="en-IN"/>
              </w:rPr>
            </w:pPr>
            <w:r w:rsidRPr="005065B6">
              <w:rPr>
                <w:rFonts w:ascii="Times New Roman" w:eastAsia="Times New Roman" w:hAnsi="Times New Roman" w:cs="Times New Roman"/>
                <w:color w:val="000000"/>
                <w:sz w:val="24"/>
                <w:szCs w:val="24"/>
                <w:lang w:eastAsia="en-IN"/>
              </w:rPr>
              <w:t>28</w:t>
            </w:r>
          </w:p>
        </w:tc>
        <w:tc>
          <w:tcPr>
            <w:tcW w:w="88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065B6" w:rsidRPr="005065B6" w:rsidRDefault="005065B6" w:rsidP="005065B6">
            <w:pPr>
              <w:spacing w:after="0" w:line="240" w:lineRule="auto"/>
              <w:rPr>
                <w:rFonts w:ascii="Times New Roman" w:eastAsia="Times New Roman" w:hAnsi="Times New Roman" w:cs="Times New Roman"/>
                <w:color w:val="000000"/>
                <w:sz w:val="24"/>
                <w:szCs w:val="24"/>
                <w:lang w:eastAsia="en-IN"/>
              </w:rPr>
            </w:pPr>
            <w:r w:rsidRPr="005065B6">
              <w:rPr>
                <w:rFonts w:ascii="Times New Roman" w:eastAsia="Times New Roman" w:hAnsi="Times New Roman" w:cs="Times New Roman"/>
                <w:color w:val="000000"/>
                <w:sz w:val="24"/>
                <w:szCs w:val="24"/>
                <w:lang w:eastAsia="en-IN"/>
              </w:rPr>
              <w:t>Master Directions on Interest Rate on Deposits</w:t>
            </w:r>
          </w:p>
        </w:tc>
      </w:tr>
      <w:tr w:rsidR="005065B6" w:rsidRPr="005065B6" w:rsidTr="00595F75">
        <w:trPr>
          <w:trHeight w:val="765"/>
        </w:trPr>
        <w:tc>
          <w:tcPr>
            <w:tcW w:w="6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065B6" w:rsidRPr="005065B6" w:rsidRDefault="005065B6" w:rsidP="005065B6">
            <w:pPr>
              <w:spacing w:after="0" w:line="240" w:lineRule="auto"/>
              <w:jc w:val="center"/>
              <w:rPr>
                <w:rFonts w:ascii="Times New Roman" w:eastAsia="Times New Roman" w:hAnsi="Times New Roman" w:cs="Times New Roman"/>
                <w:color w:val="000000"/>
                <w:sz w:val="24"/>
                <w:szCs w:val="24"/>
                <w:lang w:eastAsia="en-IN"/>
              </w:rPr>
            </w:pPr>
            <w:r w:rsidRPr="005065B6">
              <w:rPr>
                <w:rFonts w:ascii="Times New Roman" w:eastAsia="Times New Roman" w:hAnsi="Times New Roman" w:cs="Times New Roman"/>
                <w:color w:val="000000"/>
                <w:sz w:val="24"/>
                <w:szCs w:val="24"/>
                <w:lang w:eastAsia="en-IN"/>
              </w:rPr>
              <w:t>29</w:t>
            </w:r>
          </w:p>
        </w:tc>
        <w:tc>
          <w:tcPr>
            <w:tcW w:w="88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065B6" w:rsidRPr="005065B6" w:rsidRDefault="005065B6" w:rsidP="005065B6">
            <w:pPr>
              <w:spacing w:after="0" w:line="240" w:lineRule="auto"/>
              <w:rPr>
                <w:rFonts w:ascii="Times New Roman" w:eastAsia="Times New Roman" w:hAnsi="Times New Roman" w:cs="Times New Roman"/>
                <w:color w:val="000000"/>
                <w:sz w:val="24"/>
                <w:szCs w:val="24"/>
                <w:lang w:eastAsia="en-IN"/>
              </w:rPr>
            </w:pPr>
            <w:r w:rsidRPr="005065B6">
              <w:rPr>
                <w:rFonts w:ascii="Times New Roman" w:eastAsia="Times New Roman" w:hAnsi="Times New Roman" w:cs="Times New Roman"/>
                <w:color w:val="000000"/>
                <w:sz w:val="24"/>
                <w:szCs w:val="24"/>
                <w:lang w:eastAsia="en-IN"/>
              </w:rPr>
              <w:t>Compliance Function and Role of Chief Compliance Officer (CCO)- Urban Co-operative Banks</w:t>
            </w:r>
          </w:p>
        </w:tc>
      </w:tr>
      <w:tr w:rsidR="005065B6" w:rsidRPr="005065B6" w:rsidTr="00595F75">
        <w:trPr>
          <w:trHeight w:val="537"/>
        </w:trPr>
        <w:tc>
          <w:tcPr>
            <w:tcW w:w="6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065B6" w:rsidRPr="005065B6" w:rsidRDefault="005065B6" w:rsidP="005065B6">
            <w:pPr>
              <w:spacing w:after="0" w:line="240" w:lineRule="auto"/>
              <w:jc w:val="center"/>
              <w:rPr>
                <w:rFonts w:ascii="Times New Roman" w:eastAsia="Times New Roman" w:hAnsi="Times New Roman" w:cs="Times New Roman"/>
                <w:color w:val="000000"/>
                <w:sz w:val="24"/>
                <w:szCs w:val="24"/>
                <w:lang w:eastAsia="en-IN"/>
              </w:rPr>
            </w:pPr>
            <w:r w:rsidRPr="005065B6">
              <w:rPr>
                <w:rFonts w:ascii="Times New Roman" w:eastAsia="Times New Roman" w:hAnsi="Times New Roman" w:cs="Times New Roman"/>
                <w:color w:val="000000"/>
                <w:sz w:val="24"/>
                <w:szCs w:val="24"/>
                <w:lang w:eastAsia="en-IN"/>
              </w:rPr>
              <w:t>30</w:t>
            </w:r>
          </w:p>
        </w:tc>
        <w:tc>
          <w:tcPr>
            <w:tcW w:w="88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065B6" w:rsidRPr="005065B6" w:rsidRDefault="005065B6" w:rsidP="005065B6">
            <w:pPr>
              <w:spacing w:after="0" w:line="240" w:lineRule="auto"/>
              <w:rPr>
                <w:rFonts w:ascii="Times New Roman" w:eastAsia="Times New Roman" w:hAnsi="Times New Roman" w:cs="Times New Roman"/>
                <w:color w:val="000000"/>
                <w:sz w:val="24"/>
                <w:szCs w:val="24"/>
                <w:lang w:eastAsia="en-IN"/>
              </w:rPr>
            </w:pPr>
            <w:r w:rsidRPr="005065B6">
              <w:rPr>
                <w:rFonts w:ascii="Times New Roman" w:eastAsia="Times New Roman" w:hAnsi="Times New Roman" w:cs="Times New Roman"/>
                <w:color w:val="000000"/>
                <w:sz w:val="24"/>
                <w:szCs w:val="24"/>
                <w:lang w:eastAsia="en-IN"/>
              </w:rPr>
              <w:t>Late Submission Fee for reporting delays under Foreign Exchange Management Act, 1999 (FEMA)</w:t>
            </w:r>
          </w:p>
        </w:tc>
      </w:tr>
      <w:tr w:rsidR="005065B6" w:rsidRPr="005065B6" w:rsidTr="00595F75">
        <w:trPr>
          <w:trHeight w:val="510"/>
        </w:trPr>
        <w:tc>
          <w:tcPr>
            <w:tcW w:w="6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065B6" w:rsidRPr="005065B6" w:rsidRDefault="005065B6" w:rsidP="005065B6">
            <w:pPr>
              <w:spacing w:after="0" w:line="240" w:lineRule="auto"/>
              <w:jc w:val="center"/>
              <w:rPr>
                <w:rFonts w:ascii="Times New Roman" w:eastAsia="Times New Roman" w:hAnsi="Times New Roman" w:cs="Times New Roman"/>
                <w:color w:val="000000"/>
                <w:sz w:val="24"/>
                <w:szCs w:val="24"/>
                <w:lang w:eastAsia="en-IN"/>
              </w:rPr>
            </w:pPr>
            <w:r w:rsidRPr="005065B6">
              <w:rPr>
                <w:rFonts w:ascii="Times New Roman" w:eastAsia="Times New Roman" w:hAnsi="Times New Roman" w:cs="Times New Roman"/>
                <w:color w:val="000000"/>
                <w:sz w:val="24"/>
                <w:szCs w:val="24"/>
                <w:lang w:eastAsia="en-IN"/>
              </w:rPr>
              <w:t>31</w:t>
            </w:r>
          </w:p>
        </w:tc>
        <w:tc>
          <w:tcPr>
            <w:tcW w:w="88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065B6" w:rsidRPr="005065B6" w:rsidRDefault="005065B6" w:rsidP="005065B6">
            <w:pPr>
              <w:spacing w:after="0" w:line="240" w:lineRule="auto"/>
              <w:rPr>
                <w:rFonts w:ascii="Times New Roman" w:eastAsia="Times New Roman" w:hAnsi="Times New Roman" w:cs="Times New Roman"/>
                <w:color w:val="000000"/>
                <w:sz w:val="24"/>
                <w:szCs w:val="24"/>
                <w:lang w:eastAsia="en-IN"/>
              </w:rPr>
            </w:pPr>
            <w:r w:rsidRPr="005065B6">
              <w:rPr>
                <w:rFonts w:ascii="Times New Roman" w:eastAsia="Times New Roman" w:hAnsi="Times New Roman" w:cs="Times New Roman"/>
                <w:color w:val="000000"/>
                <w:sz w:val="24"/>
                <w:szCs w:val="24"/>
                <w:lang w:eastAsia="en-IN"/>
              </w:rPr>
              <w:t>Appointment of Internal Ombudsman by the Credit Information Companies</w:t>
            </w:r>
          </w:p>
        </w:tc>
      </w:tr>
      <w:tr w:rsidR="005065B6" w:rsidRPr="005065B6" w:rsidTr="00595F75">
        <w:trPr>
          <w:trHeight w:val="608"/>
        </w:trPr>
        <w:tc>
          <w:tcPr>
            <w:tcW w:w="6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065B6" w:rsidRPr="005065B6" w:rsidRDefault="005065B6" w:rsidP="005065B6">
            <w:pPr>
              <w:spacing w:after="0" w:line="240" w:lineRule="auto"/>
              <w:jc w:val="center"/>
              <w:rPr>
                <w:rFonts w:ascii="Times New Roman" w:eastAsia="Times New Roman" w:hAnsi="Times New Roman" w:cs="Times New Roman"/>
                <w:color w:val="000000"/>
                <w:sz w:val="24"/>
                <w:szCs w:val="24"/>
                <w:lang w:eastAsia="en-IN"/>
              </w:rPr>
            </w:pPr>
            <w:r w:rsidRPr="005065B6">
              <w:rPr>
                <w:rFonts w:ascii="Times New Roman" w:eastAsia="Times New Roman" w:hAnsi="Times New Roman" w:cs="Times New Roman"/>
                <w:color w:val="000000"/>
                <w:sz w:val="24"/>
                <w:szCs w:val="24"/>
                <w:lang w:eastAsia="en-IN"/>
              </w:rPr>
              <w:t>32</w:t>
            </w:r>
          </w:p>
        </w:tc>
        <w:tc>
          <w:tcPr>
            <w:tcW w:w="88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065B6" w:rsidRPr="005065B6" w:rsidRDefault="005065B6" w:rsidP="005065B6">
            <w:pPr>
              <w:spacing w:after="0" w:line="240" w:lineRule="auto"/>
              <w:rPr>
                <w:rFonts w:ascii="Times New Roman" w:eastAsia="Times New Roman" w:hAnsi="Times New Roman" w:cs="Times New Roman"/>
                <w:color w:val="000000"/>
                <w:sz w:val="24"/>
                <w:szCs w:val="24"/>
                <w:lang w:eastAsia="en-IN"/>
              </w:rPr>
            </w:pPr>
            <w:r w:rsidRPr="005065B6">
              <w:rPr>
                <w:rFonts w:ascii="Times New Roman" w:eastAsia="Times New Roman" w:hAnsi="Times New Roman" w:cs="Times New Roman"/>
                <w:color w:val="000000"/>
                <w:sz w:val="24"/>
                <w:szCs w:val="24"/>
                <w:lang w:eastAsia="en-IN"/>
              </w:rPr>
              <w:t>Review of Prudential Norms – Risk Weights for Exposures to Corporates and NBFCs</w:t>
            </w:r>
          </w:p>
        </w:tc>
      </w:tr>
      <w:tr w:rsidR="005065B6" w:rsidRPr="005065B6" w:rsidTr="00595F75">
        <w:trPr>
          <w:trHeight w:val="535"/>
        </w:trPr>
        <w:tc>
          <w:tcPr>
            <w:tcW w:w="6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065B6" w:rsidRPr="005065B6" w:rsidRDefault="005065B6" w:rsidP="005065B6">
            <w:pPr>
              <w:spacing w:after="0" w:line="240" w:lineRule="auto"/>
              <w:jc w:val="center"/>
              <w:rPr>
                <w:rFonts w:ascii="Times New Roman" w:eastAsia="Times New Roman" w:hAnsi="Times New Roman" w:cs="Times New Roman"/>
                <w:color w:val="000000"/>
                <w:sz w:val="24"/>
                <w:szCs w:val="24"/>
                <w:lang w:eastAsia="en-IN"/>
              </w:rPr>
            </w:pPr>
            <w:r w:rsidRPr="005065B6">
              <w:rPr>
                <w:rFonts w:ascii="Times New Roman" w:eastAsia="Times New Roman" w:hAnsi="Times New Roman" w:cs="Times New Roman"/>
                <w:color w:val="000000"/>
                <w:sz w:val="24"/>
                <w:szCs w:val="24"/>
                <w:lang w:eastAsia="en-IN"/>
              </w:rPr>
              <w:t>33</w:t>
            </w:r>
          </w:p>
        </w:tc>
        <w:tc>
          <w:tcPr>
            <w:tcW w:w="88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065B6" w:rsidRPr="005065B6" w:rsidRDefault="005065B6" w:rsidP="005065B6">
            <w:pPr>
              <w:spacing w:after="0" w:line="240" w:lineRule="auto"/>
              <w:rPr>
                <w:rFonts w:ascii="Times New Roman" w:eastAsia="Times New Roman" w:hAnsi="Times New Roman" w:cs="Times New Roman"/>
                <w:color w:val="000000"/>
                <w:sz w:val="24"/>
                <w:szCs w:val="24"/>
                <w:lang w:eastAsia="en-IN"/>
              </w:rPr>
            </w:pPr>
            <w:r w:rsidRPr="005065B6">
              <w:rPr>
                <w:rFonts w:ascii="Times New Roman" w:eastAsia="Times New Roman" w:hAnsi="Times New Roman" w:cs="Times New Roman"/>
                <w:color w:val="000000"/>
                <w:sz w:val="24"/>
                <w:szCs w:val="24"/>
                <w:lang w:eastAsia="en-IN"/>
              </w:rPr>
              <w:t>Diversification of activities by SPDs – Review of permissible non-core activities</w:t>
            </w:r>
          </w:p>
        </w:tc>
      </w:tr>
      <w:tr w:rsidR="005065B6" w:rsidRPr="005065B6" w:rsidTr="00595F75">
        <w:trPr>
          <w:trHeight w:val="1020"/>
        </w:trPr>
        <w:tc>
          <w:tcPr>
            <w:tcW w:w="6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065B6" w:rsidRPr="005065B6" w:rsidRDefault="005065B6" w:rsidP="005065B6">
            <w:pPr>
              <w:spacing w:after="0" w:line="240" w:lineRule="auto"/>
              <w:jc w:val="center"/>
              <w:rPr>
                <w:rFonts w:ascii="Times New Roman" w:eastAsia="Times New Roman" w:hAnsi="Times New Roman" w:cs="Times New Roman"/>
                <w:color w:val="000000"/>
                <w:sz w:val="24"/>
                <w:szCs w:val="24"/>
                <w:lang w:eastAsia="en-IN"/>
              </w:rPr>
            </w:pPr>
            <w:r w:rsidRPr="005065B6">
              <w:rPr>
                <w:rFonts w:ascii="Times New Roman" w:eastAsia="Times New Roman" w:hAnsi="Times New Roman" w:cs="Times New Roman"/>
                <w:color w:val="000000"/>
                <w:sz w:val="24"/>
                <w:szCs w:val="24"/>
                <w:lang w:eastAsia="en-IN"/>
              </w:rPr>
              <w:t>34</w:t>
            </w:r>
          </w:p>
        </w:tc>
        <w:tc>
          <w:tcPr>
            <w:tcW w:w="88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065B6" w:rsidRPr="005065B6" w:rsidRDefault="005065B6" w:rsidP="005065B6">
            <w:pPr>
              <w:spacing w:after="0" w:line="240" w:lineRule="auto"/>
              <w:rPr>
                <w:rFonts w:ascii="Times New Roman" w:eastAsia="Times New Roman" w:hAnsi="Times New Roman" w:cs="Times New Roman"/>
                <w:color w:val="000000"/>
                <w:sz w:val="24"/>
                <w:szCs w:val="24"/>
                <w:lang w:eastAsia="en-IN"/>
              </w:rPr>
            </w:pPr>
            <w:r w:rsidRPr="005065B6">
              <w:rPr>
                <w:rFonts w:ascii="Times New Roman" w:eastAsia="Times New Roman" w:hAnsi="Times New Roman" w:cs="Times New Roman"/>
                <w:color w:val="000000"/>
                <w:sz w:val="24"/>
                <w:szCs w:val="24"/>
                <w:lang w:eastAsia="en-IN"/>
              </w:rPr>
              <w:t>Diversification of activities by SPDs – Review of permissible non-core activities – Prudential regulations and other instructions</w:t>
            </w:r>
          </w:p>
        </w:tc>
      </w:tr>
      <w:tr w:rsidR="005065B6" w:rsidRPr="005065B6" w:rsidTr="00595F75">
        <w:trPr>
          <w:trHeight w:val="510"/>
        </w:trPr>
        <w:tc>
          <w:tcPr>
            <w:tcW w:w="6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065B6" w:rsidRPr="005065B6" w:rsidRDefault="005065B6" w:rsidP="005065B6">
            <w:pPr>
              <w:spacing w:after="0" w:line="240" w:lineRule="auto"/>
              <w:jc w:val="center"/>
              <w:rPr>
                <w:rFonts w:ascii="Times New Roman" w:eastAsia="Times New Roman" w:hAnsi="Times New Roman" w:cs="Times New Roman"/>
                <w:color w:val="000000"/>
                <w:sz w:val="24"/>
                <w:szCs w:val="24"/>
                <w:lang w:eastAsia="en-IN"/>
              </w:rPr>
            </w:pPr>
            <w:r w:rsidRPr="005065B6">
              <w:rPr>
                <w:rFonts w:ascii="Times New Roman" w:eastAsia="Times New Roman" w:hAnsi="Times New Roman" w:cs="Times New Roman"/>
                <w:color w:val="000000"/>
                <w:sz w:val="24"/>
                <w:szCs w:val="24"/>
                <w:lang w:eastAsia="en-IN"/>
              </w:rPr>
              <w:t>35</w:t>
            </w:r>
          </w:p>
        </w:tc>
        <w:tc>
          <w:tcPr>
            <w:tcW w:w="88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065B6" w:rsidRPr="005065B6" w:rsidRDefault="005065B6" w:rsidP="005065B6">
            <w:pPr>
              <w:spacing w:after="0" w:line="240" w:lineRule="auto"/>
              <w:rPr>
                <w:rFonts w:ascii="Times New Roman" w:eastAsia="Times New Roman" w:hAnsi="Times New Roman" w:cs="Times New Roman"/>
                <w:color w:val="000000"/>
                <w:sz w:val="24"/>
                <w:szCs w:val="24"/>
                <w:lang w:eastAsia="en-IN"/>
              </w:rPr>
            </w:pPr>
            <w:r w:rsidRPr="005065B6">
              <w:rPr>
                <w:rFonts w:ascii="Times New Roman" w:eastAsia="Times New Roman" w:hAnsi="Times New Roman" w:cs="Times New Roman"/>
                <w:color w:val="000000"/>
                <w:sz w:val="24"/>
                <w:szCs w:val="24"/>
                <w:lang w:eastAsia="en-IN"/>
              </w:rPr>
              <w:t>Review of Regulatory Framework for Asset Reconstruction Companies (ARCs)</w:t>
            </w:r>
          </w:p>
        </w:tc>
      </w:tr>
      <w:tr w:rsidR="005065B6" w:rsidRPr="005065B6" w:rsidTr="00595F75">
        <w:trPr>
          <w:trHeight w:val="510"/>
        </w:trPr>
        <w:tc>
          <w:tcPr>
            <w:tcW w:w="6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065B6" w:rsidRPr="005065B6" w:rsidRDefault="005065B6" w:rsidP="005065B6">
            <w:pPr>
              <w:spacing w:after="0" w:line="240" w:lineRule="auto"/>
              <w:jc w:val="center"/>
              <w:rPr>
                <w:rFonts w:ascii="Times New Roman" w:eastAsia="Times New Roman" w:hAnsi="Times New Roman" w:cs="Times New Roman"/>
                <w:color w:val="000000"/>
                <w:sz w:val="24"/>
                <w:szCs w:val="24"/>
                <w:lang w:eastAsia="en-IN"/>
              </w:rPr>
            </w:pPr>
            <w:r w:rsidRPr="005065B6">
              <w:rPr>
                <w:rFonts w:ascii="Times New Roman" w:eastAsia="Times New Roman" w:hAnsi="Times New Roman" w:cs="Times New Roman"/>
                <w:color w:val="000000"/>
                <w:sz w:val="24"/>
                <w:szCs w:val="24"/>
                <w:lang w:eastAsia="en-IN"/>
              </w:rPr>
              <w:t>36</w:t>
            </w:r>
          </w:p>
        </w:tc>
        <w:tc>
          <w:tcPr>
            <w:tcW w:w="88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065B6" w:rsidRPr="005065B6" w:rsidRDefault="005065B6" w:rsidP="005065B6">
            <w:pPr>
              <w:spacing w:after="0" w:line="240" w:lineRule="auto"/>
              <w:rPr>
                <w:rFonts w:ascii="Times New Roman" w:eastAsia="Times New Roman" w:hAnsi="Times New Roman" w:cs="Times New Roman"/>
                <w:color w:val="000000"/>
                <w:sz w:val="24"/>
                <w:szCs w:val="24"/>
                <w:lang w:eastAsia="en-IN"/>
              </w:rPr>
            </w:pPr>
            <w:r w:rsidRPr="005065B6">
              <w:rPr>
                <w:rFonts w:ascii="Times New Roman" w:eastAsia="Times New Roman" w:hAnsi="Times New Roman" w:cs="Times New Roman"/>
                <w:color w:val="000000"/>
                <w:sz w:val="24"/>
                <w:szCs w:val="24"/>
                <w:lang w:eastAsia="en-IN"/>
              </w:rPr>
              <w:t>Multiple NBFCs in a Group: Classification in Middle Layer</w:t>
            </w:r>
          </w:p>
        </w:tc>
      </w:tr>
      <w:tr w:rsidR="005065B6" w:rsidRPr="005065B6" w:rsidTr="00595F75">
        <w:trPr>
          <w:trHeight w:val="910"/>
        </w:trPr>
        <w:tc>
          <w:tcPr>
            <w:tcW w:w="6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065B6" w:rsidRPr="005065B6" w:rsidRDefault="005065B6" w:rsidP="005065B6">
            <w:pPr>
              <w:spacing w:after="0" w:line="240" w:lineRule="auto"/>
              <w:jc w:val="center"/>
              <w:rPr>
                <w:rFonts w:ascii="Times New Roman" w:eastAsia="Times New Roman" w:hAnsi="Times New Roman" w:cs="Times New Roman"/>
                <w:color w:val="000000"/>
                <w:sz w:val="24"/>
                <w:szCs w:val="24"/>
                <w:lang w:eastAsia="en-IN"/>
              </w:rPr>
            </w:pPr>
            <w:r w:rsidRPr="005065B6">
              <w:rPr>
                <w:rFonts w:ascii="Times New Roman" w:eastAsia="Times New Roman" w:hAnsi="Times New Roman" w:cs="Times New Roman"/>
                <w:color w:val="000000"/>
                <w:sz w:val="24"/>
                <w:szCs w:val="24"/>
                <w:lang w:eastAsia="en-IN"/>
              </w:rPr>
              <w:t>37</w:t>
            </w:r>
          </w:p>
        </w:tc>
        <w:tc>
          <w:tcPr>
            <w:tcW w:w="88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065B6" w:rsidRPr="005065B6" w:rsidRDefault="005065B6" w:rsidP="005065B6">
            <w:pPr>
              <w:spacing w:after="0" w:line="240" w:lineRule="auto"/>
              <w:rPr>
                <w:rFonts w:ascii="Times New Roman" w:eastAsia="Times New Roman" w:hAnsi="Times New Roman" w:cs="Times New Roman"/>
                <w:color w:val="000000"/>
                <w:sz w:val="24"/>
                <w:szCs w:val="24"/>
                <w:lang w:eastAsia="en-IN"/>
              </w:rPr>
            </w:pPr>
            <w:r w:rsidRPr="005065B6">
              <w:rPr>
                <w:rFonts w:ascii="Times New Roman" w:eastAsia="Times New Roman" w:hAnsi="Times New Roman" w:cs="Times New Roman"/>
                <w:color w:val="000000"/>
                <w:sz w:val="24"/>
                <w:szCs w:val="24"/>
                <w:lang w:eastAsia="en-IN"/>
              </w:rPr>
              <w:t>Reserve Bank of India (Financial Statements - Presentation and Disclosures) Directions, 2021 - Disclosure of Divergence in Asset Classification and Provisioning</w:t>
            </w:r>
          </w:p>
        </w:tc>
      </w:tr>
      <w:tr w:rsidR="005065B6" w:rsidRPr="005065B6" w:rsidTr="00595F75">
        <w:trPr>
          <w:trHeight w:val="510"/>
        </w:trPr>
        <w:tc>
          <w:tcPr>
            <w:tcW w:w="6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065B6" w:rsidRPr="005065B6" w:rsidRDefault="005065B6" w:rsidP="005065B6">
            <w:pPr>
              <w:spacing w:after="0" w:line="240" w:lineRule="auto"/>
              <w:jc w:val="center"/>
              <w:rPr>
                <w:rFonts w:ascii="Times New Roman" w:eastAsia="Times New Roman" w:hAnsi="Times New Roman" w:cs="Times New Roman"/>
                <w:color w:val="000000"/>
                <w:sz w:val="24"/>
                <w:szCs w:val="24"/>
                <w:lang w:eastAsia="en-IN"/>
              </w:rPr>
            </w:pPr>
            <w:r w:rsidRPr="005065B6">
              <w:rPr>
                <w:rFonts w:ascii="Times New Roman" w:eastAsia="Times New Roman" w:hAnsi="Times New Roman" w:cs="Times New Roman"/>
                <w:color w:val="000000"/>
                <w:sz w:val="24"/>
                <w:szCs w:val="24"/>
                <w:lang w:eastAsia="en-IN"/>
              </w:rPr>
              <w:t>38</w:t>
            </w:r>
          </w:p>
        </w:tc>
        <w:tc>
          <w:tcPr>
            <w:tcW w:w="88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065B6" w:rsidRPr="005065B6" w:rsidRDefault="005065B6" w:rsidP="005065B6">
            <w:pPr>
              <w:spacing w:after="0" w:line="240" w:lineRule="auto"/>
              <w:rPr>
                <w:rFonts w:ascii="Times New Roman" w:eastAsia="Times New Roman" w:hAnsi="Times New Roman" w:cs="Times New Roman"/>
                <w:color w:val="000000"/>
                <w:sz w:val="24"/>
                <w:szCs w:val="24"/>
                <w:lang w:eastAsia="en-IN"/>
              </w:rPr>
            </w:pPr>
            <w:r w:rsidRPr="005065B6">
              <w:rPr>
                <w:rFonts w:ascii="Times New Roman" w:eastAsia="Times New Roman" w:hAnsi="Times New Roman" w:cs="Times New Roman"/>
                <w:color w:val="000000"/>
                <w:sz w:val="24"/>
                <w:szCs w:val="24"/>
                <w:lang w:eastAsia="en-IN"/>
              </w:rPr>
              <w:t>Reserve Bank of India (Unhedged Foreign Currency Exposure) Directions, 2022</w:t>
            </w:r>
          </w:p>
        </w:tc>
      </w:tr>
      <w:tr w:rsidR="005065B6" w:rsidRPr="005065B6" w:rsidTr="00595F75">
        <w:trPr>
          <w:trHeight w:val="799"/>
        </w:trPr>
        <w:tc>
          <w:tcPr>
            <w:tcW w:w="6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065B6" w:rsidRPr="005065B6" w:rsidRDefault="005065B6" w:rsidP="005065B6">
            <w:pPr>
              <w:spacing w:after="0" w:line="240" w:lineRule="auto"/>
              <w:jc w:val="center"/>
              <w:rPr>
                <w:rFonts w:ascii="Times New Roman" w:eastAsia="Times New Roman" w:hAnsi="Times New Roman" w:cs="Times New Roman"/>
                <w:color w:val="000000"/>
                <w:sz w:val="24"/>
                <w:szCs w:val="24"/>
                <w:lang w:eastAsia="en-IN"/>
              </w:rPr>
            </w:pPr>
            <w:r w:rsidRPr="005065B6">
              <w:rPr>
                <w:rFonts w:ascii="Times New Roman" w:eastAsia="Times New Roman" w:hAnsi="Times New Roman" w:cs="Times New Roman"/>
                <w:color w:val="000000"/>
                <w:sz w:val="24"/>
                <w:szCs w:val="24"/>
                <w:lang w:eastAsia="en-IN"/>
              </w:rPr>
              <w:t>39</w:t>
            </w:r>
          </w:p>
        </w:tc>
        <w:tc>
          <w:tcPr>
            <w:tcW w:w="88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065B6" w:rsidRPr="005065B6" w:rsidRDefault="005065B6" w:rsidP="005065B6">
            <w:pPr>
              <w:spacing w:after="0" w:line="240" w:lineRule="auto"/>
              <w:rPr>
                <w:rFonts w:ascii="Times New Roman" w:eastAsia="Times New Roman" w:hAnsi="Times New Roman" w:cs="Times New Roman"/>
                <w:color w:val="000000"/>
                <w:sz w:val="24"/>
                <w:szCs w:val="24"/>
                <w:lang w:eastAsia="en-IN"/>
              </w:rPr>
            </w:pPr>
            <w:r w:rsidRPr="005065B6">
              <w:rPr>
                <w:rFonts w:ascii="Times New Roman" w:eastAsia="Times New Roman" w:hAnsi="Times New Roman" w:cs="Times New Roman"/>
                <w:color w:val="000000"/>
                <w:sz w:val="24"/>
                <w:szCs w:val="24"/>
                <w:lang w:eastAsia="en-IN"/>
              </w:rPr>
              <w:t>Claims Received from the National Credit Guarantee Trustee Company Ltd (NCGTC) - Classification for the Purpose of Maintenance of Cash Reserve Ratio (CRR)/Statutory Liquidity Ratio (SLR)</w:t>
            </w:r>
          </w:p>
        </w:tc>
      </w:tr>
      <w:tr w:rsidR="005065B6" w:rsidRPr="005065B6" w:rsidTr="00595F75">
        <w:trPr>
          <w:trHeight w:val="765"/>
        </w:trPr>
        <w:tc>
          <w:tcPr>
            <w:tcW w:w="6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065B6" w:rsidRPr="005065B6" w:rsidRDefault="005065B6" w:rsidP="005065B6">
            <w:pPr>
              <w:spacing w:after="0" w:line="240" w:lineRule="auto"/>
              <w:jc w:val="center"/>
              <w:rPr>
                <w:rFonts w:ascii="Times New Roman" w:eastAsia="Times New Roman" w:hAnsi="Times New Roman" w:cs="Times New Roman"/>
                <w:color w:val="000000"/>
                <w:sz w:val="24"/>
                <w:szCs w:val="24"/>
                <w:lang w:eastAsia="en-IN"/>
              </w:rPr>
            </w:pPr>
            <w:r w:rsidRPr="005065B6">
              <w:rPr>
                <w:rFonts w:ascii="Times New Roman" w:eastAsia="Times New Roman" w:hAnsi="Times New Roman" w:cs="Times New Roman"/>
                <w:color w:val="000000"/>
                <w:sz w:val="24"/>
                <w:szCs w:val="24"/>
                <w:lang w:eastAsia="en-IN"/>
              </w:rPr>
              <w:t>40</w:t>
            </w:r>
          </w:p>
        </w:tc>
        <w:tc>
          <w:tcPr>
            <w:tcW w:w="88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065B6" w:rsidRPr="005065B6" w:rsidRDefault="005065B6" w:rsidP="005065B6">
            <w:pPr>
              <w:spacing w:after="0" w:line="240" w:lineRule="auto"/>
              <w:rPr>
                <w:rFonts w:ascii="Times New Roman" w:eastAsia="Times New Roman" w:hAnsi="Times New Roman" w:cs="Times New Roman"/>
                <w:color w:val="000000"/>
                <w:sz w:val="24"/>
                <w:szCs w:val="24"/>
                <w:lang w:eastAsia="en-IN"/>
              </w:rPr>
            </w:pPr>
            <w:r w:rsidRPr="005065B6">
              <w:rPr>
                <w:rFonts w:ascii="Times New Roman" w:eastAsia="Times New Roman" w:hAnsi="Times New Roman" w:cs="Times New Roman"/>
                <w:color w:val="000000"/>
                <w:sz w:val="24"/>
                <w:szCs w:val="24"/>
                <w:lang w:eastAsia="en-IN"/>
              </w:rPr>
              <w:t>Eligibility Criteria for offering Internet Banking Facility by Regional Rural Banks, 2022</w:t>
            </w:r>
          </w:p>
        </w:tc>
      </w:tr>
      <w:tr w:rsidR="005065B6" w:rsidRPr="00595F75" w:rsidTr="00595F75">
        <w:trPr>
          <w:trHeight w:val="510"/>
        </w:trPr>
        <w:tc>
          <w:tcPr>
            <w:tcW w:w="657" w:type="dxa"/>
            <w:tcBorders>
              <w:top w:val="single" w:sz="4" w:space="0" w:color="auto"/>
              <w:left w:val="single" w:sz="4" w:space="0" w:color="auto"/>
              <w:bottom w:val="single" w:sz="4" w:space="0" w:color="auto"/>
              <w:right w:val="single" w:sz="4" w:space="0" w:color="auto"/>
            </w:tcBorders>
            <w:shd w:val="clear" w:color="auto" w:fill="auto"/>
            <w:noWrap/>
            <w:vAlign w:val="center"/>
          </w:tcPr>
          <w:p w:rsidR="005065B6" w:rsidRPr="005065B6" w:rsidRDefault="005065B6" w:rsidP="005065B6">
            <w:pPr>
              <w:spacing w:after="0" w:line="240" w:lineRule="auto"/>
              <w:jc w:val="center"/>
              <w:rPr>
                <w:rFonts w:ascii="Times New Roman" w:eastAsia="Times New Roman" w:hAnsi="Times New Roman" w:cs="Times New Roman"/>
                <w:b/>
                <w:bCs/>
                <w:sz w:val="24"/>
                <w:szCs w:val="24"/>
                <w:lang w:eastAsia="en-IN"/>
              </w:rPr>
            </w:pPr>
            <w:proofErr w:type="spellStart"/>
            <w:r w:rsidRPr="005065B6">
              <w:rPr>
                <w:rFonts w:ascii="Times New Roman" w:eastAsia="Times New Roman" w:hAnsi="Times New Roman" w:cs="Times New Roman"/>
                <w:b/>
                <w:bCs/>
                <w:sz w:val="24"/>
                <w:szCs w:val="24"/>
                <w:lang w:eastAsia="en-IN"/>
              </w:rPr>
              <w:lastRenderedPageBreak/>
              <w:t>S.No</w:t>
            </w:r>
            <w:proofErr w:type="spellEnd"/>
            <w:r w:rsidRPr="005065B6">
              <w:rPr>
                <w:rFonts w:ascii="Times New Roman" w:eastAsia="Times New Roman" w:hAnsi="Times New Roman" w:cs="Times New Roman"/>
                <w:b/>
                <w:bCs/>
                <w:sz w:val="24"/>
                <w:szCs w:val="24"/>
                <w:lang w:eastAsia="en-IN"/>
              </w:rPr>
              <w:t>.</w:t>
            </w:r>
          </w:p>
        </w:tc>
        <w:tc>
          <w:tcPr>
            <w:tcW w:w="8836" w:type="dxa"/>
            <w:tcBorders>
              <w:top w:val="single" w:sz="4" w:space="0" w:color="auto"/>
              <w:left w:val="single" w:sz="4" w:space="0" w:color="auto"/>
              <w:bottom w:val="single" w:sz="4" w:space="0" w:color="auto"/>
              <w:right w:val="single" w:sz="4" w:space="0" w:color="auto"/>
            </w:tcBorders>
            <w:shd w:val="clear" w:color="auto" w:fill="auto"/>
            <w:vAlign w:val="center"/>
          </w:tcPr>
          <w:p w:rsidR="005065B6" w:rsidRPr="005065B6" w:rsidRDefault="005065B6" w:rsidP="005065B6">
            <w:pPr>
              <w:spacing w:after="0" w:line="240" w:lineRule="auto"/>
              <w:jc w:val="center"/>
              <w:rPr>
                <w:rFonts w:ascii="Times New Roman" w:eastAsia="Times New Roman" w:hAnsi="Times New Roman" w:cs="Times New Roman"/>
                <w:b/>
                <w:bCs/>
                <w:sz w:val="24"/>
                <w:szCs w:val="24"/>
                <w:lang w:eastAsia="en-IN"/>
              </w:rPr>
            </w:pPr>
            <w:r w:rsidRPr="005065B6">
              <w:rPr>
                <w:rFonts w:ascii="Times New Roman" w:eastAsia="Times New Roman" w:hAnsi="Times New Roman" w:cs="Times New Roman"/>
                <w:b/>
                <w:bCs/>
                <w:sz w:val="24"/>
                <w:szCs w:val="24"/>
                <w:lang w:eastAsia="en-IN"/>
              </w:rPr>
              <w:t>RBI Notifications</w:t>
            </w:r>
          </w:p>
        </w:tc>
      </w:tr>
      <w:tr w:rsidR="005065B6" w:rsidRPr="005065B6" w:rsidTr="005004E7">
        <w:trPr>
          <w:trHeight w:val="510"/>
        </w:trPr>
        <w:tc>
          <w:tcPr>
            <w:tcW w:w="6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065B6" w:rsidRPr="005065B6" w:rsidRDefault="005065B6" w:rsidP="005065B6">
            <w:pPr>
              <w:spacing w:after="0" w:line="240" w:lineRule="auto"/>
              <w:jc w:val="center"/>
              <w:rPr>
                <w:rFonts w:ascii="Times New Roman" w:eastAsia="Times New Roman" w:hAnsi="Times New Roman" w:cs="Times New Roman"/>
                <w:color w:val="000000"/>
                <w:sz w:val="24"/>
                <w:szCs w:val="24"/>
                <w:lang w:eastAsia="en-IN"/>
              </w:rPr>
            </w:pPr>
            <w:r w:rsidRPr="005065B6">
              <w:rPr>
                <w:rFonts w:ascii="Times New Roman" w:eastAsia="Times New Roman" w:hAnsi="Times New Roman" w:cs="Times New Roman"/>
                <w:color w:val="000000"/>
                <w:sz w:val="24"/>
                <w:szCs w:val="24"/>
                <w:lang w:eastAsia="en-IN"/>
              </w:rPr>
              <w:t>41</w:t>
            </w:r>
          </w:p>
        </w:tc>
        <w:tc>
          <w:tcPr>
            <w:tcW w:w="88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065B6" w:rsidRPr="005065B6" w:rsidRDefault="005065B6" w:rsidP="005065B6">
            <w:pPr>
              <w:spacing w:after="0" w:line="240" w:lineRule="auto"/>
              <w:rPr>
                <w:rFonts w:ascii="Times New Roman" w:eastAsia="Times New Roman" w:hAnsi="Times New Roman" w:cs="Times New Roman"/>
                <w:color w:val="000000"/>
                <w:sz w:val="24"/>
                <w:szCs w:val="24"/>
                <w:lang w:eastAsia="en-IN"/>
              </w:rPr>
            </w:pPr>
            <w:r w:rsidRPr="005065B6">
              <w:rPr>
                <w:rFonts w:ascii="Times New Roman" w:eastAsia="Times New Roman" w:hAnsi="Times New Roman" w:cs="Times New Roman"/>
                <w:color w:val="000000"/>
                <w:sz w:val="24"/>
                <w:szCs w:val="24"/>
                <w:lang w:eastAsia="en-IN"/>
              </w:rPr>
              <w:t>Agency Commission for Direct Tax collection under TIN 2.0 regime</w:t>
            </w:r>
          </w:p>
        </w:tc>
      </w:tr>
      <w:tr w:rsidR="005065B6" w:rsidRPr="005065B6" w:rsidTr="005004E7">
        <w:trPr>
          <w:trHeight w:val="1033"/>
        </w:trPr>
        <w:tc>
          <w:tcPr>
            <w:tcW w:w="6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065B6" w:rsidRPr="005065B6" w:rsidRDefault="005065B6" w:rsidP="005065B6">
            <w:pPr>
              <w:spacing w:after="0" w:line="240" w:lineRule="auto"/>
              <w:jc w:val="center"/>
              <w:rPr>
                <w:rFonts w:ascii="Times New Roman" w:eastAsia="Times New Roman" w:hAnsi="Times New Roman" w:cs="Times New Roman"/>
                <w:color w:val="000000"/>
                <w:sz w:val="24"/>
                <w:szCs w:val="24"/>
                <w:lang w:eastAsia="en-IN"/>
              </w:rPr>
            </w:pPr>
            <w:r w:rsidRPr="005065B6">
              <w:rPr>
                <w:rFonts w:ascii="Times New Roman" w:eastAsia="Times New Roman" w:hAnsi="Times New Roman" w:cs="Times New Roman"/>
                <w:color w:val="000000"/>
                <w:sz w:val="24"/>
                <w:szCs w:val="24"/>
                <w:lang w:eastAsia="en-IN"/>
              </w:rPr>
              <w:t>42</w:t>
            </w:r>
          </w:p>
        </w:tc>
        <w:tc>
          <w:tcPr>
            <w:tcW w:w="88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065B6" w:rsidRPr="005065B6" w:rsidRDefault="005065B6" w:rsidP="005065B6">
            <w:pPr>
              <w:spacing w:after="0" w:line="240" w:lineRule="auto"/>
              <w:rPr>
                <w:rFonts w:ascii="Times New Roman" w:eastAsia="Times New Roman" w:hAnsi="Times New Roman" w:cs="Times New Roman"/>
                <w:color w:val="000000"/>
                <w:sz w:val="24"/>
                <w:szCs w:val="24"/>
                <w:lang w:eastAsia="en-IN"/>
              </w:rPr>
            </w:pPr>
            <w:r w:rsidRPr="005065B6">
              <w:rPr>
                <w:rFonts w:ascii="Times New Roman" w:eastAsia="Times New Roman" w:hAnsi="Times New Roman" w:cs="Times New Roman"/>
                <w:color w:val="000000"/>
                <w:sz w:val="24"/>
                <w:szCs w:val="24"/>
                <w:lang w:eastAsia="en-IN"/>
              </w:rPr>
              <w:t xml:space="preserve">Modified Interest Subvention Scheme for Short Term Loans for Agriculture and Allied Activities availed through </w:t>
            </w:r>
            <w:proofErr w:type="spellStart"/>
            <w:r w:rsidRPr="005065B6">
              <w:rPr>
                <w:rFonts w:ascii="Times New Roman" w:eastAsia="Times New Roman" w:hAnsi="Times New Roman" w:cs="Times New Roman"/>
                <w:color w:val="000000"/>
                <w:sz w:val="24"/>
                <w:szCs w:val="24"/>
                <w:lang w:eastAsia="en-IN"/>
              </w:rPr>
              <w:t>Kisan</w:t>
            </w:r>
            <w:proofErr w:type="spellEnd"/>
            <w:r w:rsidRPr="005065B6">
              <w:rPr>
                <w:rFonts w:ascii="Times New Roman" w:eastAsia="Times New Roman" w:hAnsi="Times New Roman" w:cs="Times New Roman"/>
                <w:color w:val="000000"/>
                <w:sz w:val="24"/>
                <w:szCs w:val="24"/>
                <w:lang w:eastAsia="en-IN"/>
              </w:rPr>
              <w:t xml:space="preserve"> Credit Card (KCC) during the financial years 2022-23 and 2023-24</w:t>
            </w:r>
          </w:p>
        </w:tc>
      </w:tr>
      <w:tr w:rsidR="005065B6" w:rsidRPr="005065B6" w:rsidTr="005004E7">
        <w:trPr>
          <w:trHeight w:val="1020"/>
        </w:trPr>
        <w:tc>
          <w:tcPr>
            <w:tcW w:w="6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065B6" w:rsidRPr="005065B6" w:rsidRDefault="005065B6" w:rsidP="005065B6">
            <w:pPr>
              <w:spacing w:after="0" w:line="240" w:lineRule="auto"/>
              <w:jc w:val="center"/>
              <w:rPr>
                <w:rFonts w:ascii="Times New Roman" w:eastAsia="Times New Roman" w:hAnsi="Times New Roman" w:cs="Times New Roman"/>
                <w:color w:val="000000"/>
                <w:sz w:val="24"/>
                <w:szCs w:val="24"/>
                <w:lang w:eastAsia="en-IN"/>
              </w:rPr>
            </w:pPr>
            <w:r w:rsidRPr="005065B6">
              <w:rPr>
                <w:rFonts w:ascii="Times New Roman" w:eastAsia="Times New Roman" w:hAnsi="Times New Roman" w:cs="Times New Roman"/>
                <w:color w:val="000000"/>
                <w:sz w:val="24"/>
                <w:szCs w:val="24"/>
                <w:lang w:eastAsia="en-IN"/>
              </w:rPr>
              <w:t>43</w:t>
            </w:r>
          </w:p>
        </w:tc>
        <w:tc>
          <w:tcPr>
            <w:tcW w:w="88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065B6" w:rsidRPr="005065B6" w:rsidRDefault="005065B6" w:rsidP="005065B6">
            <w:pPr>
              <w:spacing w:after="0" w:line="240" w:lineRule="auto"/>
              <w:rPr>
                <w:rFonts w:ascii="Times New Roman" w:eastAsia="Times New Roman" w:hAnsi="Times New Roman" w:cs="Times New Roman"/>
                <w:color w:val="000000"/>
                <w:sz w:val="24"/>
                <w:szCs w:val="24"/>
                <w:lang w:eastAsia="en-IN"/>
              </w:rPr>
            </w:pPr>
            <w:r w:rsidRPr="005065B6">
              <w:rPr>
                <w:rFonts w:ascii="Times New Roman" w:eastAsia="Times New Roman" w:hAnsi="Times New Roman" w:cs="Times New Roman"/>
                <w:color w:val="000000"/>
                <w:sz w:val="24"/>
                <w:szCs w:val="24"/>
                <w:lang w:eastAsia="en-IN"/>
              </w:rPr>
              <w:t>Inclusion of Goods and Service Tax Network (GSTN) as a Financial Information Provider under Account Aggregator Framework</w:t>
            </w:r>
          </w:p>
        </w:tc>
      </w:tr>
      <w:tr w:rsidR="005065B6" w:rsidRPr="005065B6" w:rsidTr="005004E7">
        <w:trPr>
          <w:trHeight w:val="510"/>
        </w:trPr>
        <w:tc>
          <w:tcPr>
            <w:tcW w:w="6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065B6" w:rsidRPr="005065B6" w:rsidRDefault="005065B6" w:rsidP="005065B6">
            <w:pPr>
              <w:spacing w:after="0" w:line="240" w:lineRule="auto"/>
              <w:jc w:val="center"/>
              <w:rPr>
                <w:rFonts w:ascii="Times New Roman" w:eastAsia="Times New Roman" w:hAnsi="Times New Roman" w:cs="Times New Roman"/>
                <w:color w:val="000000"/>
                <w:sz w:val="24"/>
                <w:szCs w:val="24"/>
                <w:lang w:eastAsia="en-IN"/>
              </w:rPr>
            </w:pPr>
            <w:r w:rsidRPr="005065B6">
              <w:rPr>
                <w:rFonts w:ascii="Times New Roman" w:eastAsia="Times New Roman" w:hAnsi="Times New Roman" w:cs="Times New Roman"/>
                <w:color w:val="000000"/>
                <w:sz w:val="24"/>
                <w:szCs w:val="24"/>
                <w:lang w:eastAsia="en-IN"/>
              </w:rPr>
              <w:t>44</w:t>
            </w:r>
          </w:p>
        </w:tc>
        <w:tc>
          <w:tcPr>
            <w:tcW w:w="88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065B6" w:rsidRPr="005065B6" w:rsidRDefault="005065B6" w:rsidP="005065B6">
            <w:pPr>
              <w:spacing w:after="0" w:line="240" w:lineRule="auto"/>
              <w:rPr>
                <w:rFonts w:ascii="Times New Roman" w:eastAsia="Times New Roman" w:hAnsi="Times New Roman" w:cs="Times New Roman"/>
                <w:color w:val="000000"/>
                <w:sz w:val="24"/>
                <w:szCs w:val="24"/>
                <w:lang w:eastAsia="en-IN"/>
              </w:rPr>
            </w:pPr>
            <w:r w:rsidRPr="005065B6">
              <w:rPr>
                <w:rFonts w:ascii="Times New Roman" w:eastAsia="Times New Roman" w:hAnsi="Times New Roman" w:cs="Times New Roman"/>
                <w:color w:val="000000"/>
                <w:sz w:val="24"/>
                <w:szCs w:val="24"/>
                <w:lang w:eastAsia="en-IN"/>
              </w:rPr>
              <w:t>Basel III Framework on Liquidity Standards – Standing Deposit Facility</w:t>
            </w:r>
          </w:p>
        </w:tc>
      </w:tr>
      <w:tr w:rsidR="005065B6" w:rsidRPr="005065B6" w:rsidTr="005004E7">
        <w:trPr>
          <w:trHeight w:val="492"/>
        </w:trPr>
        <w:tc>
          <w:tcPr>
            <w:tcW w:w="6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065B6" w:rsidRPr="005065B6" w:rsidRDefault="005065B6" w:rsidP="005065B6">
            <w:pPr>
              <w:spacing w:after="0" w:line="240" w:lineRule="auto"/>
              <w:jc w:val="center"/>
              <w:rPr>
                <w:rFonts w:ascii="Times New Roman" w:eastAsia="Times New Roman" w:hAnsi="Times New Roman" w:cs="Times New Roman"/>
                <w:color w:val="000000"/>
                <w:sz w:val="24"/>
                <w:szCs w:val="24"/>
                <w:lang w:eastAsia="en-IN"/>
              </w:rPr>
            </w:pPr>
            <w:r w:rsidRPr="005065B6">
              <w:rPr>
                <w:rFonts w:ascii="Times New Roman" w:eastAsia="Times New Roman" w:hAnsi="Times New Roman" w:cs="Times New Roman"/>
                <w:color w:val="000000"/>
                <w:sz w:val="24"/>
                <w:szCs w:val="24"/>
                <w:lang w:eastAsia="en-IN"/>
              </w:rPr>
              <w:t>45</w:t>
            </w:r>
          </w:p>
        </w:tc>
        <w:tc>
          <w:tcPr>
            <w:tcW w:w="88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065B6" w:rsidRPr="005065B6" w:rsidRDefault="005065B6" w:rsidP="005065B6">
            <w:pPr>
              <w:spacing w:after="0" w:line="240" w:lineRule="auto"/>
              <w:rPr>
                <w:rFonts w:ascii="Times New Roman" w:eastAsia="Times New Roman" w:hAnsi="Times New Roman" w:cs="Times New Roman"/>
                <w:color w:val="000000"/>
                <w:sz w:val="24"/>
                <w:szCs w:val="24"/>
                <w:lang w:eastAsia="en-IN"/>
              </w:rPr>
            </w:pPr>
            <w:r w:rsidRPr="005065B6">
              <w:rPr>
                <w:rFonts w:ascii="Times New Roman" w:eastAsia="Times New Roman" w:hAnsi="Times New Roman" w:cs="Times New Roman"/>
                <w:color w:val="000000"/>
                <w:sz w:val="24"/>
                <w:szCs w:val="24"/>
                <w:lang w:eastAsia="en-IN"/>
              </w:rPr>
              <w:t>Notification of Significant Benchmark</w:t>
            </w:r>
          </w:p>
        </w:tc>
      </w:tr>
      <w:tr w:rsidR="005065B6" w:rsidRPr="005065B6" w:rsidTr="005004E7">
        <w:trPr>
          <w:trHeight w:val="1020"/>
        </w:trPr>
        <w:tc>
          <w:tcPr>
            <w:tcW w:w="6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065B6" w:rsidRPr="005065B6" w:rsidRDefault="005065B6" w:rsidP="005065B6">
            <w:pPr>
              <w:spacing w:after="0" w:line="240" w:lineRule="auto"/>
              <w:jc w:val="center"/>
              <w:rPr>
                <w:rFonts w:ascii="Times New Roman" w:eastAsia="Times New Roman" w:hAnsi="Times New Roman" w:cs="Times New Roman"/>
                <w:color w:val="000000"/>
                <w:sz w:val="24"/>
                <w:szCs w:val="24"/>
                <w:lang w:eastAsia="en-IN"/>
              </w:rPr>
            </w:pPr>
            <w:r w:rsidRPr="005065B6">
              <w:rPr>
                <w:rFonts w:ascii="Times New Roman" w:eastAsia="Times New Roman" w:hAnsi="Times New Roman" w:cs="Times New Roman"/>
                <w:color w:val="000000"/>
                <w:sz w:val="24"/>
                <w:szCs w:val="24"/>
                <w:lang w:eastAsia="en-IN"/>
              </w:rPr>
              <w:t>46</w:t>
            </w:r>
          </w:p>
        </w:tc>
        <w:tc>
          <w:tcPr>
            <w:tcW w:w="88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065B6" w:rsidRPr="005065B6" w:rsidRDefault="005065B6" w:rsidP="005065B6">
            <w:pPr>
              <w:spacing w:after="0" w:line="240" w:lineRule="auto"/>
              <w:rPr>
                <w:rFonts w:ascii="Times New Roman" w:eastAsia="Times New Roman" w:hAnsi="Times New Roman" w:cs="Times New Roman"/>
                <w:color w:val="000000"/>
                <w:sz w:val="24"/>
                <w:szCs w:val="24"/>
                <w:lang w:eastAsia="en-IN"/>
              </w:rPr>
            </w:pPr>
            <w:r w:rsidRPr="005065B6">
              <w:rPr>
                <w:rFonts w:ascii="Times New Roman" w:eastAsia="Times New Roman" w:hAnsi="Times New Roman" w:cs="Times New Roman"/>
                <w:color w:val="000000"/>
                <w:sz w:val="24"/>
                <w:szCs w:val="24"/>
                <w:lang w:eastAsia="en-IN"/>
              </w:rPr>
              <w:t>Review of norms for classification of Urban Co-operative Banks (UCBs) as Financially Sound and Well Managed (FSWM)</w:t>
            </w:r>
          </w:p>
        </w:tc>
      </w:tr>
      <w:tr w:rsidR="005065B6" w:rsidRPr="005065B6" w:rsidTr="005004E7">
        <w:trPr>
          <w:trHeight w:val="765"/>
        </w:trPr>
        <w:tc>
          <w:tcPr>
            <w:tcW w:w="6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065B6" w:rsidRPr="005065B6" w:rsidRDefault="005065B6" w:rsidP="005065B6">
            <w:pPr>
              <w:spacing w:after="0" w:line="240" w:lineRule="auto"/>
              <w:jc w:val="center"/>
              <w:rPr>
                <w:rFonts w:ascii="Times New Roman" w:eastAsia="Times New Roman" w:hAnsi="Times New Roman" w:cs="Times New Roman"/>
                <w:color w:val="000000"/>
                <w:sz w:val="24"/>
                <w:szCs w:val="24"/>
                <w:lang w:eastAsia="en-IN"/>
              </w:rPr>
            </w:pPr>
            <w:r w:rsidRPr="005065B6">
              <w:rPr>
                <w:rFonts w:ascii="Times New Roman" w:eastAsia="Times New Roman" w:hAnsi="Times New Roman" w:cs="Times New Roman"/>
                <w:color w:val="000000"/>
                <w:sz w:val="24"/>
                <w:szCs w:val="24"/>
                <w:lang w:eastAsia="en-IN"/>
              </w:rPr>
              <w:t>47</w:t>
            </w:r>
          </w:p>
        </w:tc>
        <w:tc>
          <w:tcPr>
            <w:tcW w:w="88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065B6" w:rsidRPr="005065B6" w:rsidRDefault="005065B6" w:rsidP="005065B6">
            <w:pPr>
              <w:spacing w:after="0" w:line="240" w:lineRule="auto"/>
              <w:rPr>
                <w:rFonts w:ascii="Times New Roman" w:eastAsia="Times New Roman" w:hAnsi="Times New Roman" w:cs="Times New Roman"/>
                <w:color w:val="000000"/>
                <w:sz w:val="24"/>
                <w:szCs w:val="24"/>
                <w:lang w:eastAsia="en-IN"/>
              </w:rPr>
            </w:pPr>
            <w:r w:rsidRPr="005065B6">
              <w:rPr>
                <w:rFonts w:ascii="Times New Roman" w:eastAsia="Times New Roman" w:hAnsi="Times New Roman" w:cs="Times New Roman"/>
                <w:color w:val="000000"/>
                <w:sz w:val="24"/>
                <w:szCs w:val="24"/>
                <w:lang w:eastAsia="en-IN"/>
              </w:rPr>
              <w:t>Revised Regulatory Framework - Categorization of Urban Co-operative Banks (UCBs) for Regulatory Purposes</w:t>
            </w:r>
          </w:p>
        </w:tc>
      </w:tr>
      <w:tr w:rsidR="005065B6" w:rsidRPr="005065B6" w:rsidTr="005004E7">
        <w:trPr>
          <w:trHeight w:val="1021"/>
        </w:trPr>
        <w:tc>
          <w:tcPr>
            <w:tcW w:w="6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065B6" w:rsidRPr="005065B6" w:rsidRDefault="005065B6" w:rsidP="005065B6">
            <w:pPr>
              <w:spacing w:after="0" w:line="240" w:lineRule="auto"/>
              <w:jc w:val="center"/>
              <w:rPr>
                <w:rFonts w:ascii="Times New Roman" w:eastAsia="Times New Roman" w:hAnsi="Times New Roman" w:cs="Times New Roman"/>
                <w:color w:val="000000"/>
                <w:sz w:val="24"/>
                <w:szCs w:val="24"/>
                <w:lang w:eastAsia="en-IN"/>
              </w:rPr>
            </w:pPr>
            <w:r w:rsidRPr="005065B6">
              <w:rPr>
                <w:rFonts w:ascii="Times New Roman" w:eastAsia="Times New Roman" w:hAnsi="Times New Roman" w:cs="Times New Roman"/>
                <w:color w:val="000000"/>
                <w:sz w:val="24"/>
                <w:szCs w:val="24"/>
                <w:lang w:eastAsia="en-IN"/>
              </w:rPr>
              <w:t>48</w:t>
            </w:r>
          </w:p>
        </w:tc>
        <w:tc>
          <w:tcPr>
            <w:tcW w:w="88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065B6" w:rsidRPr="005065B6" w:rsidRDefault="005065B6" w:rsidP="005065B6">
            <w:pPr>
              <w:spacing w:after="0" w:line="240" w:lineRule="auto"/>
              <w:rPr>
                <w:rFonts w:ascii="Times New Roman" w:eastAsia="Times New Roman" w:hAnsi="Times New Roman" w:cs="Times New Roman"/>
                <w:color w:val="000000"/>
                <w:sz w:val="24"/>
                <w:szCs w:val="24"/>
                <w:lang w:eastAsia="en-IN"/>
              </w:rPr>
            </w:pPr>
            <w:r w:rsidRPr="005065B6">
              <w:rPr>
                <w:rFonts w:ascii="Times New Roman" w:eastAsia="Times New Roman" w:hAnsi="Times New Roman" w:cs="Times New Roman"/>
                <w:color w:val="000000"/>
                <w:sz w:val="24"/>
                <w:szCs w:val="24"/>
                <w:lang w:eastAsia="en-IN"/>
              </w:rPr>
              <w:t xml:space="preserve">Operations of subsidiaries and branches of Indian banks and All India Financial Institutions (AIFIs) in foreign jurisdictions and in International Financial Services </w:t>
            </w:r>
            <w:proofErr w:type="spellStart"/>
            <w:r w:rsidRPr="005065B6">
              <w:rPr>
                <w:rFonts w:ascii="Times New Roman" w:eastAsia="Times New Roman" w:hAnsi="Times New Roman" w:cs="Times New Roman"/>
                <w:color w:val="000000"/>
                <w:sz w:val="24"/>
                <w:szCs w:val="24"/>
                <w:lang w:eastAsia="en-IN"/>
              </w:rPr>
              <w:t>Centers</w:t>
            </w:r>
            <w:proofErr w:type="spellEnd"/>
            <w:r w:rsidRPr="005065B6">
              <w:rPr>
                <w:rFonts w:ascii="Times New Roman" w:eastAsia="Times New Roman" w:hAnsi="Times New Roman" w:cs="Times New Roman"/>
                <w:color w:val="000000"/>
                <w:sz w:val="24"/>
                <w:szCs w:val="24"/>
                <w:lang w:eastAsia="en-IN"/>
              </w:rPr>
              <w:t xml:space="preserve"> (IFSCs) - Compliance with statutory/regulatory norms</w:t>
            </w:r>
          </w:p>
        </w:tc>
      </w:tr>
      <w:tr w:rsidR="005065B6" w:rsidRPr="005065B6" w:rsidTr="005004E7">
        <w:trPr>
          <w:trHeight w:val="765"/>
        </w:trPr>
        <w:tc>
          <w:tcPr>
            <w:tcW w:w="6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065B6" w:rsidRPr="005065B6" w:rsidRDefault="005065B6" w:rsidP="005065B6">
            <w:pPr>
              <w:spacing w:after="0" w:line="240" w:lineRule="auto"/>
              <w:jc w:val="center"/>
              <w:rPr>
                <w:rFonts w:ascii="Times New Roman" w:eastAsia="Times New Roman" w:hAnsi="Times New Roman" w:cs="Times New Roman"/>
                <w:color w:val="000000"/>
                <w:sz w:val="24"/>
                <w:szCs w:val="24"/>
                <w:lang w:eastAsia="en-IN"/>
              </w:rPr>
            </w:pPr>
            <w:r w:rsidRPr="005065B6">
              <w:rPr>
                <w:rFonts w:ascii="Times New Roman" w:eastAsia="Times New Roman" w:hAnsi="Times New Roman" w:cs="Times New Roman"/>
                <w:color w:val="000000"/>
                <w:sz w:val="24"/>
                <w:szCs w:val="24"/>
                <w:lang w:eastAsia="en-IN"/>
              </w:rPr>
              <w:t>49</w:t>
            </w:r>
          </w:p>
        </w:tc>
        <w:tc>
          <w:tcPr>
            <w:tcW w:w="88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065B6" w:rsidRPr="005065B6" w:rsidRDefault="005065B6" w:rsidP="005065B6">
            <w:pPr>
              <w:spacing w:after="0" w:line="240" w:lineRule="auto"/>
              <w:rPr>
                <w:rFonts w:ascii="Times New Roman" w:eastAsia="Times New Roman" w:hAnsi="Times New Roman" w:cs="Times New Roman"/>
                <w:color w:val="000000"/>
                <w:sz w:val="24"/>
                <w:szCs w:val="24"/>
                <w:lang w:eastAsia="en-IN"/>
              </w:rPr>
            </w:pPr>
            <w:r w:rsidRPr="005065B6">
              <w:rPr>
                <w:rFonts w:ascii="Times New Roman" w:eastAsia="Times New Roman" w:hAnsi="Times New Roman" w:cs="Times New Roman"/>
                <w:color w:val="000000"/>
                <w:sz w:val="24"/>
                <w:szCs w:val="24"/>
                <w:lang w:eastAsia="en-IN"/>
              </w:rPr>
              <w:t>Revised Regulatory Framework for Urban Co-operative Banks (UCBs) – Net Worth and Capital Adequacy</w:t>
            </w:r>
          </w:p>
        </w:tc>
      </w:tr>
      <w:tr w:rsidR="005065B6" w:rsidRPr="005065B6" w:rsidTr="005004E7">
        <w:trPr>
          <w:trHeight w:val="577"/>
        </w:trPr>
        <w:tc>
          <w:tcPr>
            <w:tcW w:w="6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065B6" w:rsidRPr="005065B6" w:rsidRDefault="005065B6" w:rsidP="005065B6">
            <w:pPr>
              <w:spacing w:after="0" w:line="240" w:lineRule="auto"/>
              <w:jc w:val="center"/>
              <w:rPr>
                <w:rFonts w:ascii="Times New Roman" w:eastAsia="Times New Roman" w:hAnsi="Times New Roman" w:cs="Times New Roman"/>
                <w:color w:val="000000"/>
                <w:sz w:val="24"/>
                <w:szCs w:val="24"/>
                <w:lang w:eastAsia="en-IN"/>
              </w:rPr>
            </w:pPr>
            <w:r w:rsidRPr="005065B6">
              <w:rPr>
                <w:rFonts w:ascii="Times New Roman" w:eastAsia="Times New Roman" w:hAnsi="Times New Roman" w:cs="Times New Roman"/>
                <w:color w:val="000000"/>
                <w:sz w:val="24"/>
                <w:szCs w:val="24"/>
                <w:lang w:eastAsia="en-IN"/>
              </w:rPr>
              <w:t>50</w:t>
            </w:r>
          </w:p>
        </w:tc>
        <w:tc>
          <w:tcPr>
            <w:tcW w:w="88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065B6" w:rsidRPr="005065B6" w:rsidRDefault="005065B6" w:rsidP="005065B6">
            <w:pPr>
              <w:spacing w:after="0" w:line="240" w:lineRule="auto"/>
              <w:rPr>
                <w:rFonts w:ascii="Times New Roman" w:eastAsia="Times New Roman" w:hAnsi="Times New Roman" w:cs="Times New Roman"/>
                <w:color w:val="000000"/>
                <w:sz w:val="24"/>
                <w:szCs w:val="24"/>
                <w:lang w:eastAsia="en-IN"/>
              </w:rPr>
            </w:pPr>
            <w:r w:rsidRPr="005065B6">
              <w:rPr>
                <w:rFonts w:ascii="Times New Roman" w:eastAsia="Times New Roman" w:hAnsi="Times New Roman" w:cs="Times New Roman"/>
                <w:color w:val="000000"/>
                <w:sz w:val="24"/>
                <w:szCs w:val="24"/>
                <w:lang w:eastAsia="en-IN"/>
              </w:rPr>
              <w:t>Review of SLR holdings in HTM category</w:t>
            </w:r>
          </w:p>
        </w:tc>
      </w:tr>
      <w:tr w:rsidR="005065B6" w:rsidRPr="005065B6" w:rsidTr="005004E7">
        <w:trPr>
          <w:trHeight w:val="510"/>
        </w:trPr>
        <w:tc>
          <w:tcPr>
            <w:tcW w:w="6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065B6" w:rsidRPr="005065B6" w:rsidRDefault="005065B6" w:rsidP="005065B6">
            <w:pPr>
              <w:spacing w:after="0" w:line="240" w:lineRule="auto"/>
              <w:jc w:val="center"/>
              <w:rPr>
                <w:rFonts w:ascii="Times New Roman" w:eastAsia="Times New Roman" w:hAnsi="Times New Roman" w:cs="Times New Roman"/>
                <w:color w:val="000000"/>
                <w:sz w:val="24"/>
                <w:szCs w:val="24"/>
                <w:lang w:eastAsia="en-IN"/>
              </w:rPr>
            </w:pPr>
            <w:r w:rsidRPr="005065B6">
              <w:rPr>
                <w:rFonts w:ascii="Times New Roman" w:eastAsia="Times New Roman" w:hAnsi="Times New Roman" w:cs="Times New Roman"/>
                <w:color w:val="000000"/>
                <w:sz w:val="24"/>
                <w:szCs w:val="24"/>
                <w:lang w:eastAsia="en-IN"/>
              </w:rPr>
              <w:t>51</w:t>
            </w:r>
          </w:p>
        </w:tc>
        <w:tc>
          <w:tcPr>
            <w:tcW w:w="88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065B6" w:rsidRPr="005065B6" w:rsidRDefault="005065B6" w:rsidP="005065B6">
            <w:pPr>
              <w:spacing w:after="0" w:line="240" w:lineRule="auto"/>
              <w:rPr>
                <w:rFonts w:ascii="Times New Roman" w:eastAsia="Times New Roman" w:hAnsi="Times New Roman" w:cs="Times New Roman"/>
                <w:color w:val="000000"/>
                <w:sz w:val="24"/>
                <w:szCs w:val="24"/>
                <w:lang w:eastAsia="en-IN"/>
              </w:rPr>
            </w:pPr>
            <w:r w:rsidRPr="005065B6">
              <w:rPr>
                <w:rFonts w:ascii="Times New Roman" w:eastAsia="Times New Roman" w:hAnsi="Times New Roman" w:cs="Times New Roman"/>
                <w:color w:val="000000"/>
                <w:sz w:val="24"/>
                <w:szCs w:val="24"/>
                <w:lang w:eastAsia="en-IN"/>
              </w:rPr>
              <w:t>Hedging of Gold Price Risk in Overseas Markets</w:t>
            </w:r>
          </w:p>
        </w:tc>
      </w:tr>
      <w:tr w:rsidR="005065B6" w:rsidRPr="005065B6" w:rsidTr="005004E7">
        <w:trPr>
          <w:trHeight w:val="1020"/>
        </w:trPr>
        <w:tc>
          <w:tcPr>
            <w:tcW w:w="6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065B6" w:rsidRPr="005065B6" w:rsidRDefault="005065B6" w:rsidP="005065B6">
            <w:pPr>
              <w:spacing w:after="0" w:line="240" w:lineRule="auto"/>
              <w:jc w:val="center"/>
              <w:rPr>
                <w:rFonts w:ascii="Times New Roman" w:eastAsia="Times New Roman" w:hAnsi="Times New Roman" w:cs="Times New Roman"/>
                <w:color w:val="000000"/>
                <w:sz w:val="24"/>
                <w:szCs w:val="24"/>
                <w:lang w:eastAsia="en-IN"/>
              </w:rPr>
            </w:pPr>
            <w:r w:rsidRPr="005065B6">
              <w:rPr>
                <w:rFonts w:ascii="Times New Roman" w:eastAsia="Times New Roman" w:hAnsi="Times New Roman" w:cs="Times New Roman"/>
                <w:color w:val="000000"/>
                <w:sz w:val="24"/>
                <w:szCs w:val="24"/>
                <w:lang w:eastAsia="en-IN"/>
              </w:rPr>
              <w:t>52</w:t>
            </w:r>
          </w:p>
        </w:tc>
        <w:tc>
          <w:tcPr>
            <w:tcW w:w="88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065B6" w:rsidRPr="005065B6" w:rsidRDefault="005065B6" w:rsidP="005065B6">
            <w:pPr>
              <w:spacing w:after="0" w:line="240" w:lineRule="auto"/>
              <w:rPr>
                <w:rFonts w:ascii="Times New Roman" w:eastAsia="Times New Roman" w:hAnsi="Times New Roman" w:cs="Times New Roman"/>
                <w:color w:val="000000"/>
                <w:sz w:val="24"/>
                <w:szCs w:val="24"/>
                <w:lang w:eastAsia="en-IN"/>
              </w:rPr>
            </w:pPr>
            <w:r w:rsidRPr="005065B6">
              <w:rPr>
                <w:rFonts w:ascii="Times New Roman" w:eastAsia="Times New Roman" w:hAnsi="Times New Roman" w:cs="Times New Roman"/>
                <w:color w:val="000000"/>
                <w:sz w:val="24"/>
                <w:szCs w:val="24"/>
                <w:lang w:eastAsia="en-IN"/>
              </w:rPr>
              <w:t>Master Direction – Foreign Exchange Management (Hedging of Commodity Price Risk and Freight Risk in Overseas Markets) Directions, 2022</w:t>
            </w:r>
          </w:p>
        </w:tc>
      </w:tr>
      <w:tr w:rsidR="005065B6" w:rsidRPr="005065B6" w:rsidTr="005004E7">
        <w:trPr>
          <w:trHeight w:val="1020"/>
        </w:trPr>
        <w:tc>
          <w:tcPr>
            <w:tcW w:w="6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065B6" w:rsidRPr="005065B6" w:rsidRDefault="005065B6" w:rsidP="005065B6">
            <w:pPr>
              <w:spacing w:after="0" w:line="240" w:lineRule="auto"/>
              <w:jc w:val="center"/>
              <w:rPr>
                <w:rFonts w:ascii="Times New Roman" w:eastAsia="Times New Roman" w:hAnsi="Times New Roman" w:cs="Times New Roman"/>
                <w:color w:val="000000"/>
                <w:sz w:val="24"/>
                <w:szCs w:val="24"/>
                <w:lang w:eastAsia="en-IN"/>
              </w:rPr>
            </w:pPr>
            <w:r w:rsidRPr="005065B6">
              <w:rPr>
                <w:rFonts w:ascii="Times New Roman" w:eastAsia="Times New Roman" w:hAnsi="Times New Roman" w:cs="Times New Roman"/>
                <w:color w:val="000000"/>
                <w:sz w:val="24"/>
                <w:szCs w:val="24"/>
                <w:lang w:eastAsia="en-IN"/>
              </w:rPr>
              <w:t>53</w:t>
            </w:r>
          </w:p>
        </w:tc>
        <w:tc>
          <w:tcPr>
            <w:tcW w:w="88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065B6" w:rsidRPr="005065B6" w:rsidRDefault="005065B6" w:rsidP="005065B6">
            <w:pPr>
              <w:spacing w:after="0" w:line="240" w:lineRule="auto"/>
              <w:rPr>
                <w:rFonts w:ascii="Times New Roman" w:eastAsia="Times New Roman" w:hAnsi="Times New Roman" w:cs="Times New Roman"/>
                <w:color w:val="000000"/>
                <w:sz w:val="24"/>
                <w:szCs w:val="24"/>
                <w:lang w:eastAsia="en-IN"/>
              </w:rPr>
            </w:pPr>
            <w:r w:rsidRPr="005065B6">
              <w:rPr>
                <w:rFonts w:ascii="Times New Roman" w:eastAsia="Times New Roman" w:hAnsi="Times New Roman" w:cs="Times New Roman"/>
                <w:color w:val="000000"/>
                <w:sz w:val="24"/>
                <w:szCs w:val="24"/>
                <w:lang w:eastAsia="en-IN"/>
              </w:rPr>
              <w:t>Data Format for Furnishing of Credit Information to Credit Information Companies and other Regulatory Measures</w:t>
            </w:r>
          </w:p>
        </w:tc>
      </w:tr>
      <w:tr w:rsidR="005065B6" w:rsidRPr="005065B6" w:rsidTr="005004E7">
        <w:trPr>
          <w:trHeight w:val="960"/>
        </w:trPr>
        <w:tc>
          <w:tcPr>
            <w:tcW w:w="6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065B6" w:rsidRPr="005065B6" w:rsidRDefault="005065B6" w:rsidP="005065B6">
            <w:pPr>
              <w:spacing w:after="0" w:line="240" w:lineRule="auto"/>
              <w:jc w:val="center"/>
              <w:rPr>
                <w:rFonts w:ascii="Times New Roman" w:eastAsia="Times New Roman" w:hAnsi="Times New Roman" w:cs="Times New Roman"/>
                <w:color w:val="000000"/>
                <w:sz w:val="24"/>
                <w:szCs w:val="24"/>
                <w:lang w:eastAsia="en-IN"/>
              </w:rPr>
            </w:pPr>
            <w:r w:rsidRPr="005065B6">
              <w:rPr>
                <w:rFonts w:ascii="Times New Roman" w:eastAsia="Times New Roman" w:hAnsi="Times New Roman" w:cs="Times New Roman"/>
                <w:color w:val="000000"/>
                <w:sz w:val="24"/>
                <w:szCs w:val="24"/>
                <w:lang w:eastAsia="en-IN"/>
              </w:rPr>
              <w:t>54</w:t>
            </w:r>
          </w:p>
        </w:tc>
        <w:tc>
          <w:tcPr>
            <w:tcW w:w="88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065B6" w:rsidRPr="005065B6" w:rsidRDefault="005065B6" w:rsidP="005065B6">
            <w:pPr>
              <w:spacing w:after="0" w:line="240" w:lineRule="auto"/>
              <w:rPr>
                <w:rFonts w:ascii="Times New Roman" w:eastAsia="Times New Roman" w:hAnsi="Times New Roman" w:cs="Times New Roman"/>
                <w:color w:val="000000"/>
                <w:sz w:val="24"/>
                <w:szCs w:val="24"/>
                <w:lang w:eastAsia="en-IN"/>
              </w:rPr>
            </w:pPr>
            <w:r w:rsidRPr="005065B6">
              <w:rPr>
                <w:rFonts w:ascii="Times New Roman" w:eastAsia="Times New Roman" w:hAnsi="Times New Roman" w:cs="Times New Roman"/>
                <w:color w:val="000000"/>
                <w:sz w:val="24"/>
                <w:szCs w:val="24"/>
                <w:lang w:eastAsia="en-IN"/>
              </w:rPr>
              <w:t>Reserve Bank of India (Financial Statements - Presentation and Disclosures) Directions, 2021 - Disclosure of material items</w:t>
            </w:r>
          </w:p>
        </w:tc>
      </w:tr>
      <w:tr w:rsidR="005065B6" w:rsidRPr="005065B6" w:rsidTr="005004E7">
        <w:trPr>
          <w:trHeight w:val="776"/>
        </w:trPr>
        <w:tc>
          <w:tcPr>
            <w:tcW w:w="6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065B6" w:rsidRPr="005065B6" w:rsidRDefault="005065B6" w:rsidP="005065B6">
            <w:pPr>
              <w:spacing w:after="0" w:line="240" w:lineRule="auto"/>
              <w:jc w:val="center"/>
              <w:rPr>
                <w:rFonts w:ascii="Times New Roman" w:eastAsia="Times New Roman" w:hAnsi="Times New Roman" w:cs="Times New Roman"/>
                <w:color w:val="000000"/>
                <w:sz w:val="24"/>
                <w:szCs w:val="24"/>
                <w:lang w:eastAsia="en-IN"/>
              </w:rPr>
            </w:pPr>
            <w:r w:rsidRPr="005065B6">
              <w:rPr>
                <w:rFonts w:ascii="Times New Roman" w:eastAsia="Times New Roman" w:hAnsi="Times New Roman" w:cs="Times New Roman"/>
                <w:color w:val="000000"/>
                <w:sz w:val="24"/>
                <w:szCs w:val="24"/>
                <w:lang w:eastAsia="en-IN"/>
              </w:rPr>
              <w:t>55</w:t>
            </w:r>
          </w:p>
        </w:tc>
        <w:tc>
          <w:tcPr>
            <w:tcW w:w="88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065B6" w:rsidRPr="005065B6" w:rsidRDefault="005065B6" w:rsidP="005065B6">
            <w:pPr>
              <w:spacing w:after="0" w:line="240" w:lineRule="auto"/>
              <w:rPr>
                <w:rFonts w:ascii="Times New Roman" w:eastAsia="Times New Roman" w:hAnsi="Times New Roman" w:cs="Times New Roman"/>
                <w:color w:val="000000"/>
                <w:sz w:val="24"/>
                <w:szCs w:val="24"/>
                <w:lang w:eastAsia="en-IN"/>
              </w:rPr>
            </w:pPr>
            <w:r w:rsidRPr="005065B6">
              <w:rPr>
                <w:rFonts w:ascii="Times New Roman" w:eastAsia="Times New Roman" w:hAnsi="Times New Roman" w:cs="Times New Roman"/>
                <w:color w:val="000000"/>
                <w:sz w:val="24"/>
                <w:szCs w:val="24"/>
                <w:lang w:eastAsia="en-IN"/>
              </w:rPr>
              <w:t>Central Payments Fraud Information Registry – Migration of Reporting to DAKSH</w:t>
            </w:r>
          </w:p>
        </w:tc>
      </w:tr>
      <w:tr w:rsidR="005065B6" w:rsidRPr="005065B6" w:rsidTr="005004E7">
        <w:trPr>
          <w:trHeight w:val="900"/>
        </w:trPr>
        <w:tc>
          <w:tcPr>
            <w:tcW w:w="6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065B6" w:rsidRPr="005065B6" w:rsidRDefault="005065B6" w:rsidP="005065B6">
            <w:pPr>
              <w:spacing w:after="0" w:line="240" w:lineRule="auto"/>
              <w:jc w:val="center"/>
              <w:rPr>
                <w:rFonts w:ascii="Times New Roman" w:eastAsia="Times New Roman" w:hAnsi="Times New Roman" w:cs="Times New Roman"/>
                <w:color w:val="000000"/>
                <w:sz w:val="24"/>
                <w:szCs w:val="24"/>
                <w:lang w:eastAsia="en-IN"/>
              </w:rPr>
            </w:pPr>
            <w:r w:rsidRPr="005065B6">
              <w:rPr>
                <w:rFonts w:ascii="Times New Roman" w:eastAsia="Times New Roman" w:hAnsi="Times New Roman" w:cs="Times New Roman"/>
                <w:color w:val="000000"/>
                <w:sz w:val="24"/>
                <w:szCs w:val="24"/>
                <w:lang w:eastAsia="en-IN"/>
              </w:rPr>
              <w:t>56</w:t>
            </w:r>
          </w:p>
        </w:tc>
        <w:tc>
          <w:tcPr>
            <w:tcW w:w="88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065B6" w:rsidRPr="005065B6" w:rsidRDefault="005065B6" w:rsidP="005065B6">
            <w:pPr>
              <w:spacing w:after="0" w:line="240" w:lineRule="auto"/>
              <w:rPr>
                <w:rFonts w:ascii="Times New Roman" w:eastAsia="Times New Roman" w:hAnsi="Times New Roman" w:cs="Times New Roman"/>
                <w:color w:val="000000"/>
                <w:sz w:val="24"/>
                <w:szCs w:val="24"/>
                <w:lang w:eastAsia="en-IN"/>
              </w:rPr>
            </w:pPr>
            <w:r w:rsidRPr="005065B6">
              <w:rPr>
                <w:rFonts w:ascii="Times New Roman" w:eastAsia="Times New Roman" w:hAnsi="Times New Roman" w:cs="Times New Roman"/>
                <w:color w:val="000000"/>
                <w:sz w:val="24"/>
                <w:szCs w:val="24"/>
                <w:lang w:eastAsia="en-IN"/>
              </w:rPr>
              <w:t>Individual Housing loans – Revised limits under four-tiered regulatory framework</w:t>
            </w:r>
          </w:p>
        </w:tc>
      </w:tr>
    </w:tbl>
    <w:p w:rsidR="008C7A02" w:rsidRPr="00470480" w:rsidRDefault="008C7A02" w:rsidP="008C7A02">
      <w:pPr>
        <w:jc w:val="both"/>
        <w:rPr>
          <w:rFonts w:ascii="Arial" w:hAnsi="Arial" w:cs="Arial"/>
          <w:b/>
          <w:bCs/>
          <w:color w:val="000000"/>
          <w:sz w:val="20"/>
          <w:szCs w:val="20"/>
        </w:rPr>
      </w:pPr>
    </w:p>
    <w:p w:rsidR="006458AB" w:rsidRDefault="006458AB" w:rsidP="006458AB">
      <w:pPr>
        <w:rPr>
          <w:rFonts w:ascii="Arial" w:hAnsi="Arial" w:cs="Arial"/>
          <w:b/>
          <w:bCs/>
          <w:color w:val="000000"/>
          <w:sz w:val="20"/>
          <w:szCs w:val="20"/>
        </w:rPr>
      </w:pPr>
      <w:r>
        <w:rPr>
          <w:rFonts w:ascii="Arial" w:hAnsi="Arial" w:cs="Arial"/>
          <w:b/>
          <w:bCs/>
          <w:color w:val="000000"/>
          <w:sz w:val="20"/>
          <w:szCs w:val="20"/>
        </w:rPr>
        <w:lastRenderedPageBreak/>
        <w:t>Note Sorting Machines - Authentication and Fitness Sorting Parameters</w:t>
      </w:r>
    </w:p>
    <w:p w:rsidR="006458AB" w:rsidRDefault="006458AB" w:rsidP="006458AB">
      <w:pPr>
        <w:pStyle w:val="NormalWeb"/>
        <w:rPr>
          <w:rFonts w:ascii="Arial" w:hAnsi="Arial" w:cs="Arial"/>
          <w:color w:val="000000"/>
          <w:sz w:val="20"/>
          <w:szCs w:val="20"/>
        </w:rPr>
      </w:pPr>
      <w:r>
        <w:rPr>
          <w:rFonts w:ascii="Arial" w:hAnsi="Arial" w:cs="Arial"/>
          <w:color w:val="000000"/>
          <w:sz w:val="20"/>
          <w:szCs w:val="20"/>
        </w:rPr>
        <w:t>RBI/2022-23/79</w:t>
      </w:r>
      <w:r>
        <w:rPr>
          <w:rFonts w:ascii="Arial" w:hAnsi="Arial" w:cs="Arial"/>
          <w:color w:val="000000"/>
          <w:sz w:val="20"/>
          <w:szCs w:val="20"/>
        </w:rPr>
        <w:br/>
        <w:t>DCM(NPD)No.S488/18.00.14/2022-23</w:t>
      </w:r>
    </w:p>
    <w:p w:rsidR="006458AB" w:rsidRDefault="006458AB" w:rsidP="006458AB">
      <w:pPr>
        <w:pStyle w:val="NormalWeb"/>
        <w:jc w:val="right"/>
        <w:rPr>
          <w:rFonts w:ascii="Arial" w:hAnsi="Arial" w:cs="Arial"/>
          <w:color w:val="000000"/>
          <w:sz w:val="20"/>
          <w:szCs w:val="20"/>
        </w:rPr>
      </w:pPr>
      <w:r>
        <w:rPr>
          <w:rFonts w:ascii="Arial" w:hAnsi="Arial" w:cs="Arial"/>
          <w:color w:val="000000"/>
          <w:sz w:val="20"/>
          <w:szCs w:val="20"/>
        </w:rPr>
        <w:t>July 1, 2022</w:t>
      </w:r>
    </w:p>
    <w:p w:rsidR="006458AB" w:rsidRDefault="006458AB" w:rsidP="006458AB">
      <w:pPr>
        <w:pStyle w:val="NormalWeb"/>
        <w:rPr>
          <w:rFonts w:ascii="Arial" w:hAnsi="Arial" w:cs="Arial"/>
          <w:color w:val="000000"/>
          <w:sz w:val="20"/>
          <w:szCs w:val="20"/>
        </w:rPr>
      </w:pPr>
      <w:r>
        <w:rPr>
          <w:rFonts w:ascii="Arial" w:hAnsi="Arial" w:cs="Arial"/>
          <w:color w:val="000000"/>
          <w:sz w:val="20"/>
          <w:szCs w:val="20"/>
        </w:rPr>
        <w:t>The Chairman/ Managing Director/ Chief Executive Officers</w:t>
      </w:r>
      <w:r>
        <w:rPr>
          <w:rFonts w:ascii="Arial" w:hAnsi="Arial" w:cs="Arial"/>
          <w:color w:val="000000"/>
          <w:sz w:val="20"/>
          <w:szCs w:val="20"/>
        </w:rPr>
        <w:br/>
        <w:t>All Banks</w:t>
      </w:r>
    </w:p>
    <w:p w:rsidR="006458AB" w:rsidRDefault="006458AB" w:rsidP="006458AB">
      <w:pPr>
        <w:pStyle w:val="NormalWeb"/>
        <w:rPr>
          <w:rFonts w:ascii="Arial" w:hAnsi="Arial" w:cs="Arial"/>
          <w:color w:val="000000"/>
          <w:sz w:val="20"/>
          <w:szCs w:val="20"/>
        </w:rPr>
      </w:pPr>
      <w:r>
        <w:rPr>
          <w:rFonts w:ascii="Arial" w:hAnsi="Arial" w:cs="Arial"/>
          <w:color w:val="000000"/>
          <w:sz w:val="20"/>
          <w:szCs w:val="20"/>
        </w:rPr>
        <w:t>Dear Sir/Madam</w:t>
      </w:r>
    </w:p>
    <w:p w:rsidR="006458AB" w:rsidRDefault="006458AB" w:rsidP="006458AB">
      <w:pPr>
        <w:pStyle w:val="head"/>
        <w:rPr>
          <w:rFonts w:ascii="Arial" w:hAnsi="Arial" w:cs="Arial"/>
          <w:b/>
          <w:bCs/>
          <w:color w:val="000000"/>
          <w:sz w:val="20"/>
          <w:szCs w:val="20"/>
        </w:rPr>
      </w:pPr>
      <w:r>
        <w:rPr>
          <w:rFonts w:ascii="Arial" w:hAnsi="Arial" w:cs="Arial"/>
          <w:b/>
          <w:bCs/>
          <w:color w:val="000000"/>
          <w:sz w:val="20"/>
          <w:szCs w:val="20"/>
        </w:rPr>
        <w:t>Note Sorting Machines - Authentication and Fitness Sorting Parameters</w:t>
      </w:r>
    </w:p>
    <w:p w:rsidR="006458AB" w:rsidRDefault="006458AB" w:rsidP="006458AB">
      <w:pPr>
        <w:pStyle w:val="NormalWeb"/>
        <w:rPr>
          <w:rFonts w:ascii="Arial" w:hAnsi="Arial" w:cs="Arial"/>
          <w:color w:val="000000"/>
          <w:sz w:val="20"/>
          <w:szCs w:val="20"/>
        </w:rPr>
      </w:pPr>
      <w:r>
        <w:rPr>
          <w:rFonts w:ascii="Arial" w:hAnsi="Arial" w:cs="Arial"/>
          <w:color w:val="000000"/>
          <w:sz w:val="20"/>
          <w:szCs w:val="20"/>
        </w:rPr>
        <w:t>Please refer to our </w:t>
      </w:r>
      <w:hyperlink r:id="rId5" w:tgtFrame="_blank" w:history="1">
        <w:r>
          <w:rPr>
            <w:rStyle w:val="Hyperlink"/>
            <w:rFonts w:ascii="Arial" w:hAnsi="Arial" w:cs="Arial"/>
            <w:sz w:val="20"/>
            <w:szCs w:val="20"/>
          </w:rPr>
          <w:t>circular DCM(R&amp;D)No.G-26/18.00.14/2009-10 dated May 11, 2010</w:t>
        </w:r>
      </w:hyperlink>
      <w:r>
        <w:rPr>
          <w:rFonts w:ascii="Arial" w:hAnsi="Arial" w:cs="Arial"/>
          <w:color w:val="000000"/>
          <w:sz w:val="20"/>
          <w:szCs w:val="20"/>
        </w:rPr>
        <w:t> setting out ''Note Authentication and Fitness Sorting Parameters'' for the Note Sorting Machines installed in the banks.</w:t>
      </w:r>
    </w:p>
    <w:p w:rsidR="006458AB" w:rsidRDefault="006458AB" w:rsidP="006458AB">
      <w:pPr>
        <w:pStyle w:val="NormalWeb"/>
        <w:rPr>
          <w:rFonts w:ascii="Arial" w:hAnsi="Arial" w:cs="Arial"/>
          <w:color w:val="000000"/>
          <w:sz w:val="20"/>
          <w:szCs w:val="20"/>
        </w:rPr>
      </w:pPr>
      <w:r>
        <w:rPr>
          <w:rFonts w:ascii="Arial" w:hAnsi="Arial" w:cs="Arial"/>
          <w:color w:val="000000"/>
          <w:sz w:val="20"/>
          <w:szCs w:val="20"/>
        </w:rPr>
        <w:t>2. In the backdrop of introduction of the new series banknotes, these parameters have been reviewed and a revised set of guidelines are </w:t>
      </w:r>
      <w:hyperlink r:id="rId6" w:anchor="GL" w:history="1">
        <w:r>
          <w:rPr>
            <w:rStyle w:val="Hyperlink"/>
            <w:rFonts w:ascii="Arial" w:hAnsi="Arial" w:cs="Arial"/>
            <w:sz w:val="20"/>
            <w:szCs w:val="20"/>
          </w:rPr>
          <w:t>enclosed</w:t>
        </w:r>
      </w:hyperlink>
      <w:r>
        <w:rPr>
          <w:rFonts w:ascii="Arial" w:hAnsi="Arial" w:cs="Arial"/>
          <w:color w:val="000000"/>
          <w:sz w:val="20"/>
          <w:szCs w:val="20"/>
        </w:rPr>
        <w:t> for implementation.</w:t>
      </w:r>
    </w:p>
    <w:p w:rsidR="006458AB" w:rsidRDefault="006458AB" w:rsidP="006458AB">
      <w:pPr>
        <w:pStyle w:val="NormalWeb"/>
        <w:rPr>
          <w:rFonts w:ascii="Arial" w:hAnsi="Arial" w:cs="Arial"/>
          <w:color w:val="000000"/>
          <w:sz w:val="20"/>
          <w:szCs w:val="20"/>
        </w:rPr>
      </w:pPr>
      <w:r>
        <w:rPr>
          <w:rFonts w:ascii="Arial" w:hAnsi="Arial" w:cs="Arial"/>
          <w:color w:val="000000"/>
          <w:sz w:val="20"/>
          <w:szCs w:val="20"/>
        </w:rPr>
        <w:t>3. The guidelines shall be implemented with immediate effect.</w:t>
      </w:r>
    </w:p>
    <w:p w:rsidR="006458AB" w:rsidRDefault="006458AB" w:rsidP="006458AB">
      <w:pPr>
        <w:pStyle w:val="NormalWeb"/>
        <w:rPr>
          <w:rFonts w:ascii="Arial" w:hAnsi="Arial" w:cs="Arial"/>
          <w:color w:val="000000"/>
          <w:sz w:val="20"/>
          <w:szCs w:val="20"/>
        </w:rPr>
      </w:pPr>
      <w:r>
        <w:rPr>
          <w:rFonts w:ascii="Arial" w:hAnsi="Arial" w:cs="Arial"/>
          <w:color w:val="000000"/>
          <w:sz w:val="20"/>
          <w:szCs w:val="20"/>
        </w:rPr>
        <w:t>Yours faithfully</w:t>
      </w:r>
    </w:p>
    <w:p w:rsidR="006458AB" w:rsidRDefault="006458AB" w:rsidP="006458AB">
      <w:pPr>
        <w:pStyle w:val="NormalWeb"/>
        <w:rPr>
          <w:rFonts w:ascii="Arial" w:hAnsi="Arial" w:cs="Arial"/>
          <w:color w:val="000000"/>
          <w:sz w:val="20"/>
          <w:szCs w:val="20"/>
        </w:rPr>
      </w:pPr>
      <w:r>
        <w:rPr>
          <w:rFonts w:ascii="Arial" w:hAnsi="Arial" w:cs="Arial"/>
          <w:color w:val="000000"/>
          <w:sz w:val="20"/>
          <w:szCs w:val="20"/>
        </w:rPr>
        <w:t>(Sanjeev Prakash)</w:t>
      </w:r>
      <w:r>
        <w:rPr>
          <w:rFonts w:ascii="Arial" w:hAnsi="Arial" w:cs="Arial"/>
          <w:color w:val="000000"/>
          <w:sz w:val="20"/>
          <w:szCs w:val="20"/>
        </w:rPr>
        <w:br/>
        <w:t>Chief General Manager</w:t>
      </w:r>
    </w:p>
    <w:p w:rsidR="006458AB" w:rsidRDefault="006458AB" w:rsidP="006458AB">
      <w:pPr>
        <w:rPr>
          <w:rFonts w:ascii="Arial" w:hAnsi="Arial" w:cs="Arial"/>
          <w:sz w:val="20"/>
          <w:szCs w:val="20"/>
        </w:rPr>
      </w:pPr>
    </w:p>
    <w:p w:rsidR="006458AB" w:rsidRDefault="006458AB" w:rsidP="006458AB">
      <w:pPr>
        <w:rPr>
          <w:rFonts w:ascii="Arial" w:hAnsi="Arial" w:cs="Arial"/>
          <w:sz w:val="20"/>
          <w:szCs w:val="20"/>
        </w:rPr>
      </w:pPr>
    </w:p>
    <w:p w:rsidR="006458AB" w:rsidRDefault="006458AB" w:rsidP="006458AB">
      <w:pPr>
        <w:rPr>
          <w:rFonts w:ascii="Arial" w:hAnsi="Arial" w:cs="Arial"/>
          <w:sz w:val="20"/>
          <w:szCs w:val="20"/>
        </w:rPr>
      </w:pPr>
    </w:p>
    <w:p w:rsidR="006458AB" w:rsidRDefault="006458AB" w:rsidP="006458AB">
      <w:r>
        <w:t>More details can be referred to in the below link.</w:t>
      </w:r>
    </w:p>
    <w:p w:rsidR="006458AB" w:rsidRDefault="006458AB" w:rsidP="006458AB">
      <w:pPr>
        <w:rPr>
          <w:rFonts w:ascii="Arial" w:hAnsi="Arial" w:cs="Arial"/>
          <w:bCs/>
          <w:color w:val="000000"/>
          <w:sz w:val="20"/>
          <w:szCs w:val="20"/>
        </w:rPr>
      </w:pPr>
      <w:r>
        <w:rPr>
          <w:rFonts w:ascii="Arial" w:hAnsi="Arial" w:cs="Arial"/>
          <w:bCs/>
          <w:color w:val="000000"/>
          <w:sz w:val="20"/>
          <w:szCs w:val="20"/>
        </w:rPr>
        <w:t xml:space="preserve">Reference Link: </w:t>
      </w:r>
      <w:hyperlink r:id="rId7" w:history="1">
        <w:r w:rsidRPr="006865D6">
          <w:rPr>
            <w:rStyle w:val="Hyperlink"/>
            <w:rFonts w:ascii="Arial" w:hAnsi="Arial" w:cs="Arial"/>
            <w:bCs/>
            <w:sz w:val="20"/>
            <w:szCs w:val="20"/>
          </w:rPr>
          <w:t>https://www.rbi.org.in/Scripts/NotificationUser.aspx?Id=12347&amp;Mode=0</w:t>
        </w:r>
      </w:hyperlink>
    </w:p>
    <w:p w:rsidR="00E653FA" w:rsidRDefault="00E653FA" w:rsidP="008C7A02">
      <w:pPr>
        <w:jc w:val="both"/>
        <w:rPr>
          <w:rFonts w:ascii="Arial" w:hAnsi="Arial" w:cs="Arial"/>
          <w:b/>
          <w:bCs/>
          <w:color w:val="000000"/>
          <w:sz w:val="20"/>
          <w:szCs w:val="20"/>
        </w:rPr>
      </w:pPr>
    </w:p>
    <w:p w:rsidR="006458AB" w:rsidRDefault="006458AB" w:rsidP="008C7A02">
      <w:pPr>
        <w:jc w:val="both"/>
        <w:rPr>
          <w:rFonts w:ascii="Arial" w:hAnsi="Arial" w:cs="Arial"/>
          <w:b/>
          <w:bCs/>
          <w:color w:val="000000"/>
          <w:sz w:val="20"/>
          <w:szCs w:val="20"/>
        </w:rPr>
      </w:pPr>
    </w:p>
    <w:p w:rsidR="006458AB" w:rsidRDefault="006458AB" w:rsidP="008C7A02">
      <w:pPr>
        <w:jc w:val="both"/>
        <w:rPr>
          <w:rFonts w:ascii="Arial" w:hAnsi="Arial" w:cs="Arial"/>
          <w:b/>
          <w:bCs/>
          <w:color w:val="000000"/>
          <w:sz w:val="20"/>
          <w:szCs w:val="20"/>
        </w:rPr>
      </w:pPr>
    </w:p>
    <w:p w:rsidR="006458AB" w:rsidRDefault="006458AB" w:rsidP="008C7A02">
      <w:pPr>
        <w:jc w:val="both"/>
        <w:rPr>
          <w:rFonts w:ascii="Arial" w:hAnsi="Arial" w:cs="Arial"/>
          <w:b/>
          <w:bCs/>
          <w:color w:val="000000"/>
          <w:sz w:val="20"/>
          <w:szCs w:val="20"/>
        </w:rPr>
      </w:pPr>
    </w:p>
    <w:p w:rsidR="006458AB" w:rsidRDefault="006458AB" w:rsidP="008C7A02">
      <w:pPr>
        <w:jc w:val="both"/>
        <w:rPr>
          <w:rFonts w:ascii="Arial" w:hAnsi="Arial" w:cs="Arial"/>
          <w:b/>
          <w:bCs/>
          <w:color w:val="000000"/>
          <w:sz w:val="20"/>
          <w:szCs w:val="20"/>
        </w:rPr>
      </w:pPr>
    </w:p>
    <w:p w:rsidR="006458AB" w:rsidRDefault="006458AB" w:rsidP="008C7A02">
      <w:pPr>
        <w:jc w:val="both"/>
        <w:rPr>
          <w:rFonts w:ascii="Arial" w:hAnsi="Arial" w:cs="Arial"/>
          <w:b/>
          <w:bCs/>
          <w:color w:val="000000"/>
          <w:sz w:val="20"/>
          <w:szCs w:val="20"/>
        </w:rPr>
      </w:pPr>
    </w:p>
    <w:p w:rsidR="006458AB" w:rsidRDefault="006458AB" w:rsidP="008C7A02">
      <w:pPr>
        <w:jc w:val="both"/>
        <w:rPr>
          <w:rFonts w:ascii="Arial" w:hAnsi="Arial" w:cs="Arial"/>
          <w:b/>
          <w:bCs/>
          <w:color w:val="000000"/>
          <w:sz w:val="20"/>
          <w:szCs w:val="20"/>
        </w:rPr>
      </w:pPr>
    </w:p>
    <w:p w:rsidR="006458AB" w:rsidRDefault="006458AB" w:rsidP="008C7A02">
      <w:pPr>
        <w:jc w:val="both"/>
        <w:rPr>
          <w:rFonts w:ascii="Arial" w:hAnsi="Arial" w:cs="Arial"/>
          <w:b/>
          <w:bCs/>
          <w:color w:val="000000"/>
          <w:sz w:val="20"/>
          <w:szCs w:val="20"/>
        </w:rPr>
      </w:pPr>
    </w:p>
    <w:p w:rsidR="006458AB" w:rsidRDefault="006458AB" w:rsidP="008C7A02">
      <w:pPr>
        <w:jc w:val="both"/>
        <w:rPr>
          <w:rFonts w:ascii="Arial" w:hAnsi="Arial" w:cs="Arial"/>
          <w:b/>
          <w:bCs/>
          <w:color w:val="000000"/>
          <w:sz w:val="20"/>
          <w:szCs w:val="20"/>
        </w:rPr>
      </w:pPr>
    </w:p>
    <w:p w:rsidR="006458AB" w:rsidRDefault="006458AB" w:rsidP="008C7A02">
      <w:pPr>
        <w:jc w:val="both"/>
        <w:rPr>
          <w:rFonts w:ascii="Arial" w:hAnsi="Arial" w:cs="Arial"/>
          <w:b/>
          <w:bCs/>
          <w:color w:val="000000"/>
          <w:sz w:val="20"/>
          <w:szCs w:val="20"/>
        </w:rPr>
      </w:pPr>
    </w:p>
    <w:p w:rsidR="006458AB" w:rsidRDefault="006458AB" w:rsidP="008C7A02">
      <w:pPr>
        <w:jc w:val="both"/>
        <w:rPr>
          <w:rFonts w:ascii="Arial" w:hAnsi="Arial" w:cs="Arial"/>
          <w:b/>
          <w:bCs/>
          <w:color w:val="000000"/>
          <w:sz w:val="20"/>
          <w:szCs w:val="20"/>
        </w:rPr>
      </w:pPr>
    </w:p>
    <w:p w:rsidR="006458AB" w:rsidRDefault="006458AB" w:rsidP="008C7A02">
      <w:pPr>
        <w:jc w:val="both"/>
        <w:rPr>
          <w:rFonts w:ascii="Arial" w:hAnsi="Arial" w:cs="Arial"/>
          <w:b/>
          <w:bCs/>
          <w:color w:val="000000"/>
          <w:sz w:val="20"/>
          <w:szCs w:val="20"/>
        </w:rPr>
      </w:pPr>
    </w:p>
    <w:p w:rsidR="006458AB" w:rsidRDefault="006458AB" w:rsidP="006458AB">
      <w:pPr>
        <w:rPr>
          <w:rFonts w:ascii="Arial" w:hAnsi="Arial" w:cs="Arial"/>
          <w:b/>
          <w:bCs/>
          <w:color w:val="000000"/>
          <w:sz w:val="20"/>
          <w:szCs w:val="20"/>
        </w:rPr>
      </w:pPr>
      <w:r>
        <w:rPr>
          <w:rFonts w:ascii="Arial" w:hAnsi="Arial" w:cs="Arial"/>
          <w:b/>
          <w:bCs/>
          <w:color w:val="000000"/>
          <w:sz w:val="20"/>
          <w:szCs w:val="20"/>
        </w:rPr>
        <w:lastRenderedPageBreak/>
        <w:t>Requirement for obtaining prior approval in case of takeover / acquisition of control of non-bank PSOs and sale / transfer of payment system activity of non-bank PSO</w:t>
      </w:r>
    </w:p>
    <w:p w:rsidR="006458AB" w:rsidRDefault="006458AB" w:rsidP="006458AB">
      <w:pPr>
        <w:pStyle w:val="NormalWeb"/>
        <w:rPr>
          <w:rFonts w:ascii="Arial" w:hAnsi="Arial" w:cs="Arial"/>
          <w:color w:val="000000"/>
          <w:sz w:val="20"/>
          <w:szCs w:val="20"/>
        </w:rPr>
      </w:pPr>
      <w:r>
        <w:rPr>
          <w:rFonts w:ascii="Arial" w:hAnsi="Arial" w:cs="Arial"/>
          <w:color w:val="000000"/>
          <w:sz w:val="20"/>
          <w:szCs w:val="20"/>
        </w:rPr>
        <w:t>RBI/2022-23/80</w:t>
      </w:r>
      <w:r>
        <w:rPr>
          <w:rFonts w:ascii="Arial" w:hAnsi="Arial" w:cs="Arial"/>
          <w:color w:val="000000"/>
          <w:sz w:val="20"/>
          <w:szCs w:val="20"/>
        </w:rPr>
        <w:br/>
        <w:t>CO.DPSS.POLC.No.S-590/02-14-006/2022-23</w:t>
      </w:r>
    </w:p>
    <w:p w:rsidR="006458AB" w:rsidRDefault="006458AB" w:rsidP="006458AB">
      <w:pPr>
        <w:pStyle w:val="NormalWeb"/>
        <w:jc w:val="right"/>
        <w:rPr>
          <w:rFonts w:ascii="Arial" w:hAnsi="Arial" w:cs="Arial"/>
          <w:color w:val="000000"/>
          <w:sz w:val="20"/>
          <w:szCs w:val="20"/>
        </w:rPr>
      </w:pPr>
      <w:r>
        <w:rPr>
          <w:rFonts w:ascii="Arial" w:hAnsi="Arial" w:cs="Arial"/>
          <w:color w:val="000000"/>
          <w:sz w:val="20"/>
          <w:szCs w:val="20"/>
        </w:rPr>
        <w:t>July 04, 2022</w:t>
      </w:r>
    </w:p>
    <w:p w:rsidR="006458AB" w:rsidRDefault="006458AB" w:rsidP="006458AB">
      <w:pPr>
        <w:pStyle w:val="NormalWeb"/>
        <w:rPr>
          <w:rFonts w:ascii="Arial" w:hAnsi="Arial" w:cs="Arial"/>
          <w:color w:val="000000"/>
          <w:sz w:val="20"/>
          <w:szCs w:val="20"/>
        </w:rPr>
      </w:pPr>
      <w:r>
        <w:rPr>
          <w:rFonts w:ascii="Arial" w:hAnsi="Arial" w:cs="Arial"/>
          <w:color w:val="000000"/>
          <w:sz w:val="20"/>
          <w:szCs w:val="20"/>
        </w:rPr>
        <w:t>The Chairman / Managing Director / Chief Executive Officer</w:t>
      </w:r>
      <w:r>
        <w:rPr>
          <w:rFonts w:ascii="Arial" w:hAnsi="Arial" w:cs="Arial"/>
          <w:color w:val="000000"/>
          <w:sz w:val="20"/>
          <w:szCs w:val="20"/>
        </w:rPr>
        <w:br/>
        <w:t>Bank and Non-bank Payment System Operators (PSOs)</w:t>
      </w:r>
    </w:p>
    <w:p w:rsidR="006458AB" w:rsidRDefault="006458AB" w:rsidP="006458AB">
      <w:pPr>
        <w:pStyle w:val="NormalWeb"/>
        <w:rPr>
          <w:rFonts w:ascii="Arial" w:hAnsi="Arial" w:cs="Arial"/>
          <w:color w:val="000000"/>
          <w:sz w:val="20"/>
          <w:szCs w:val="20"/>
        </w:rPr>
      </w:pPr>
      <w:r>
        <w:rPr>
          <w:rFonts w:ascii="Arial" w:hAnsi="Arial" w:cs="Arial"/>
          <w:color w:val="000000"/>
          <w:sz w:val="20"/>
          <w:szCs w:val="20"/>
        </w:rPr>
        <w:t>Madam / Dear Sir,</w:t>
      </w:r>
    </w:p>
    <w:p w:rsidR="006458AB" w:rsidRDefault="006458AB" w:rsidP="006458AB">
      <w:pPr>
        <w:pStyle w:val="head"/>
        <w:rPr>
          <w:rFonts w:ascii="Arial" w:hAnsi="Arial" w:cs="Arial"/>
          <w:b/>
          <w:bCs/>
          <w:color w:val="000000"/>
          <w:sz w:val="20"/>
          <w:szCs w:val="20"/>
        </w:rPr>
      </w:pPr>
      <w:r>
        <w:rPr>
          <w:rFonts w:ascii="Arial" w:hAnsi="Arial" w:cs="Arial"/>
          <w:b/>
          <w:bCs/>
          <w:color w:val="000000"/>
          <w:sz w:val="20"/>
          <w:szCs w:val="20"/>
        </w:rPr>
        <w:t>Requirement for obtaining prior approval in case of takeover / acquisition of control of non-bank PSOs and sale / transfer of payment system activity of non-bank PSO</w:t>
      </w:r>
    </w:p>
    <w:p w:rsidR="006458AB" w:rsidRDefault="006458AB" w:rsidP="006458AB">
      <w:pPr>
        <w:pStyle w:val="NormalWeb"/>
        <w:rPr>
          <w:rFonts w:ascii="Arial" w:hAnsi="Arial" w:cs="Arial"/>
          <w:color w:val="000000"/>
          <w:sz w:val="20"/>
          <w:szCs w:val="20"/>
        </w:rPr>
      </w:pPr>
      <w:r>
        <w:rPr>
          <w:rFonts w:ascii="Arial" w:hAnsi="Arial" w:cs="Arial"/>
          <w:color w:val="000000"/>
          <w:sz w:val="20"/>
          <w:szCs w:val="20"/>
        </w:rPr>
        <w:t>A reference is invited to Reserve Bank of India (RBI) instructions contained in paragraph 5.10 of </w:t>
      </w:r>
      <w:hyperlink r:id="rId8" w:tgtFrame="_blank" w:history="1">
        <w:r>
          <w:rPr>
            <w:rStyle w:val="Hyperlink"/>
            <w:rFonts w:ascii="Arial" w:hAnsi="Arial" w:cs="Arial"/>
            <w:sz w:val="20"/>
            <w:szCs w:val="20"/>
          </w:rPr>
          <w:t>Master Directions on Prepaid Payment Instruments dated August 27, 2021</w:t>
        </w:r>
      </w:hyperlink>
      <w:r>
        <w:rPr>
          <w:rFonts w:ascii="Arial" w:hAnsi="Arial" w:cs="Arial"/>
          <w:color w:val="000000"/>
          <w:sz w:val="20"/>
          <w:szCs w:val="20"/>
        </w:rPr>
        <w:t>, paragraph 5.2 of </w:t>
      </w:r>
      <w:hyperlink r:id="rId9" w:tgtFrame="_blank" w:history="1">
        <w:r>
          <w:rPr>
            <w:rStyle w:val="Hyperlink"/>
            <w:rFonts w:ascii="Arial" w:hAnsi="Arial" w:cs="Arial"/>
            <w:sz w:val="20"/>
            <w:szCs w:val="20"/>
          </w:rPr>
          <w:t>Guidelines on Regulation of Payment Aggregators and Payment Gateways dated March 17, 2020</w:t>
        </w:r>
      </w:hyperlink>
      <w:r>
        <w:rPr>
          <w:rFonts w:ascii="Arial" w:hAnsi="Arial" w:cs="Arial"/>
          <w:color w:val="000000"/>
          <w:sz w:val="20"/>
          <w:szCs w:val="20"/>
        </w:rPr>
        <w:t> and paragraph 3.1 of Annex-A to </w:t>
      </w:r>
      <w:hyperlink r:id="rId10" w:tgtFrame="_blank" w:history="1">
        <w:r>
          <w:rPr>
            <w:rStyle w:val="Hyperlink"/>
            <w:rFonts w:ascii="Arial" w:hAnsi="Arial" w:cs="Arial"/>
            <w:sz w:val="20"/>
            <w:szCs w:val="20"/>
          </w:rPr>
          <w:t>White Label ATM Guidelines dated June 20, 2012</w:t>
        </w:r>
      </w:hyperlink>
      <w:r>
        <w:rPr>
          <w:rFonts w:ascii="Arial" w:hAnsi="Arial" w:cs="Arial"/>
          <w:color w:val="000000"/>
          <w:sz w:val="20"/>
          <w:szCs w:val="20"/>
        </w:rPr>
        <w:t>.</w:t>
      </w:r>
    </w:p>
    <w:p w:rsidR="006458AB" w:rsidRDefault="006458AB" w:rsidP="006458AB">
      <w:pPr>
        <w:pStyle w:val="NormalWeb"/>
        <w:rPr>
          <w:rFonts w:ascii="Arial" w:hAnsi="Arial" w:cs="Arial"/>
          <w:color w:val="000000"/>
          <w:sz w:val="20"/>
          <w:szCs w:val="20"/>
        </w:rPr>
      </w:pPr>
      <w:r>
        <w:rPr>
          <w:rFonts w:ascii="Arial" w:hAnsi="Arial" w:cs="Arial"/>
          <w:color w:val="000000"/>
          <w:sz w:val="20"/>
          <w:szCs w:val="20"/>
        </w:rPr>
        <w:t>2. The operations of non-bank PSOs (authorised to operate any Payment System) have been reviewed and they shall require prior approval of RBI in the following cases –</w:t>
      </w:r>
    </w:p>
    <w:p w:rsidR="006458AB" w:rsidRDefault="006458AB" w:rsidP="00DA1141">
      <w:pPr>
        <w:pStyle w:val="NormalWeb"/>
        <w:numPr>
          <w:ilvl w:val="0"/>
          <w:numId w:val="1"/>
        </w:numPr>
        <w:ind w:left="0"/>
        <w:rPr>
          <w:rFonts w:ascii="Arial" w:hAnsi="Arial" w:cs="Arial"/>
          <w:color w:val="000000"/>
          <w:sz w:val="20"/>
          <w:szCs w:val="20"/>
        </w:rPr>
      </w:pPr>
      <w:r>
        <w:rPr>
          <w:rFonts w:ascii="Arial" w:hAnsi="Arial" w:cs="Arial"/>
          <w:color w:val="000000"/>
          <w:sz w:val="20"/>
          <w:szCs w:val="20"/>
        </w:rPr>
        <w:t>Takeover / Acquisition of control, which may / may not result in change of management.</w:t>
      </w:r>
    </w:p>
    <w:p w:rsidR="006458AB" w:rsidRDefault="006458AB" w:rsidP="00DA1141">
      <w:pPr>
        <w:pStyle w:val="NormalWeb"/>
        <w:numPr>
          <w:ilvl w:val="0"/>
          <w:numId w:val="1"/>
        </w:numPr>
        <w:ind w:left="0"/>
        <w:rPr>
          <w:rFonts w:ascii="Arial" w:hAnsi="Arial" w:cs="Arial"/>
          <w:color w:val="000000"/>
          <w:sz w:val="20"/>
          <w:szCs w:val="20"/>
        </w:rPr>
      </w:pPr>
      <w:r>
        <w:rPr>
          <w:rFonts w:ascii="Arial" w:hAnsi="Arial" w:cs="Arial"/>
          <w:color w:val="000000"/>
          <w:sz w:val="20"/>
          <w:szCs w:val="20"/>
        </w:rPr>
        <w:t>Sale / Transfer of payment activity to an entity not authorised for undertaking similar activity.</w:t>
      </w:r>
    </w:p>
    <w:p w:rsidR="006458AB" w:rsidRDefault="006458AB" w:rsidP="006458AB">
      <w:pPr>
        <w:pStyle w:val="NormalWeb"/>
        <w:rPr>
          <w:rFonts w:ascii="Arial" w:hAnsi="Arial" w:cs="Arial"/>
          <w:color w:val="000000"/>
          <w:sz w:val="20"/>
          <w:szCs w:val="20"/>
        </w:rPr>
      </w:pPr>
      <w:r>
        <w:rPr>
          <w:rFonts w:ascii="Arial" w:hAnsi="Arial" w:cs="Arial"/>
          <w:color w:val="000000"/>
          <w:sz w:val="20"/>
          <w:szCs w:val="20"/>
        </w:rPr>
        <w:t>3. The non-bank PSOs shall inform RBI within 15 calendar days in the following cases –</w:t>
      </w:r>
    </w:p>
    <w:p w:rsidR="006458AB" w:rsidRDefault="006458AB" w:rsidP="00DA1141">
      <w:pPr>
        <w:pStyle w:val="NormalWeb"/>
        <w:numPr>
          <w:ilvl w:val="0"/>
          <w:numId w:val="2"/>
        </w:numPr>
        <w:ind w:left="0"/>
        <w:rPr>
          <w:rFonts w:ascii="Arial" w:hAnsi="Arial" w:cs="Arial"/>
          <w:color w:val="000000"/>
          <w:sz w:val="20"/>
          <w:szCs w:val="20"/>
        </w:rPr>
      </w:pPr>
      <w:r>
        <w:rPr>
          <w:rFonts w:ascii="Arial" w:hAnsi="Arial" w:cs="Arial"/>
          <w:color w:val="000000"/>
          <w:sz w:val="20"/>
          <w:szCs w:val="20"/>
        </w:rPr>
        <w:t>Change in management / directors.</w:t>
      </w:r>
    </w:p>
    <w:p w:rsidR="006458AB" w:rsidRDefault="006458AB" w:rsidP="00DA1141">
      <w:pPr>
        <w:pStyle w:val="NormalWeb"/>
        <w:numPr>
          <w:ilvl w:val="0"/>
          <w:numId w:val="2"/>
        </w:numPr>
        <w:ind w:left="0"/>
        <w:rPr>
          <w:rFonts w:ascii="Arial" w:hAnsi="Arial" w:cs="Arial"/>
          <w:color w:val="000000"/>
          <w:sz w:val="20"/>
          <w:szCs w:val="20"/>
        </w:rPr>
      </w:pPr>
      <w:r>
        <w:rPr>
          <w:rFonts w:ascii="Arial" w:hAnsi="Arial" w:cs="Arial"/>
          <w:color w:val="000000"/>
          <w:sz w:val="20"/>
          <w:szCs w:val="20"/>
        </w:rPr>
        <w:t>Sale / Transfer of payment activity to an entity authorised for undertaking similar activity.</w:t>
      </w:r>
    </w:p>
    <w:p w:rsidR="006458AB" w:rsidRDefault="006458AB" w:rsidP="006458AB">
      <w:pPr>
        <w:pStyle w:val="NormalWeb"/>
        <w:rPr>
          <w:rFonts w:ascii="Arial" w:hAnsi="Arial" w:cs="Arial"/>
          <w:color w:val="000000"/>
          <w:sz w:val="20"/>
          <w:szCs w:val="20"/>
        </w:rPr>
      </w:pPr>
      <w:r>
        <w:rPr>
          <w:rFonts w:ascii="Arial" w:hAnsi="Arial" w:cs="Arial"/>
          <w:color w:val="000000"/>
          <w:sz w:val="20"/>
          <w:szCs w:val="20"/>
        </w:rPr>
        <w:t>4. Details of the requirements are given in </w:t>
      </w:r>
      <w:hyperlink r:id="rId11" w:anchor="AN1" w:history="1">
        <w:r>
          <w:rPr>
            <w:rStyle w:val="Hyperlink"/>
            <w:rFonts w:ascii="Arial" w:hAnsi="Arial" w:cs="Arial"/>
            <w:sz w:val="20"/>
            <w:szCs w:val="20"/>
          </w:rPr>
          <w:t>Annex-1</w:t>
        </w:r>
      </w:hyperlink>
      <w:r>
        <w:rPr>
          <w:rFonts w:ascii="Arial" w:hAnsi="Arial" w:cs="Arial"/>
          <w:color w:val="000000"/>
          <w:sz w:val="20"/>
          <w:szCs w:val="20"/>
        </w:rPr>
        <w:t>.</w:t>
      </w:r>
    </w:p>
    <w:p w:rsidR="006458AB" w:rsidRDefault="006458AB" w:rsidP="006458AB">
      <w:pPr>
        <w:pStyle w:val="NormalWeb"/>
        <w:rPr>
          <w:rFonts w:ascii="Arial" w:hAnsi="Arial" w:cs="Arial"/>
          <w:color w:val="000000"/>
          <w:sz w:val="20"/>
          <w:szCs w:val="20"/>
        </w:rPr>
      </w:pPr>
      <w:r>
        <w:rPr>
          <w:rFonts w:ascii="Arial" w:hAnsi="Arial" w:cs="Arial"/>
          <w:color w:val="000000"/>
          <w:sz w:val="20"/>
          <w:szCs w:val="20"/>
        </w:rPr>
        <w:t>5. This directive is issued under Section 10 (2) read with Section 18 of Payment and Settlement Systems Act, 2007 (Act 51 of 2007) and shall come into effect immediately.</w:t>
      </w:r>
    </w:p>
    <w:p w:rsidR="006458AB" w:rsidRDefault="006458AB" w:rsidP="006458AB">
      <w:pPr>
        <w:pStyle w:val="NormalWeb"/>
        <w:rPr>
          <w:rFonts w:ascii="Arial" w:hAnsi="Arial" w:cs="Arial"/>
          <w:color w:val="000000"/>
          <w:sz w:val="20"/>
          <w:szCs w:val="20"/>
        </w:rPr>
      </w:pPr>
      <w:r>
        <w:rPr>
          <w:rFonts w:ascii="Arial" w:hAnsi="Arial" w:cs="Arial"/>
          <w:color w:val="000000"/>
          <w:sz w:val="20"/>
          <w:szCs w:val="20"/>
        </w:rPr>
        <w:t>Yours faithfully,</w:t>
      </w:r>
    </w:p>
    <w:p w:rsidR="006458AB" w:rsidRDefault="006458AB" w:rsidP="006458AB">
      <w:pPr>
        <w:pStyle w:val="NormalWeb"/>
        <w:rPr>
          <w:rFonts w:ascii="Arial" w:hAnsi="Arial" w:cs="Arial"/>
          <w:color w:val="000000"/>
          <w:sz w:val="20"/>
          <w:szCs w:val="20"/>
        </w:rPr>
      </w:pPr>
      <w:r>
        <w:rPr>
          <w:rFonts w:ascii="Arial" w:hAnsi="Arial" w:cs="Arial"/>
          <w:color w:val="000000"/>
          <w:sz w:val="20"/>
          <w:szCs w:val="20"/>
        </w:rPr>
        <w:t xml:space="preserve">(P. </w:t>
      </w:r>
      <w:proofErr w:type="spellStart"/>
      <w:r>
        <w:rPr>
          <w:rFonts w:ascii="Arial" w:hAnsi="Arial" w:cs="Arial"/>
          <w:color w:val="000000"/>
          <w:sz w:val="20"/>
          <w:szCs w:val="20"/>
        </w:rPr>
        <w:t>Vasudevan</w:t>
      </w:r>
      <w:proofErr w:type="spellEnd"/>
      <w:r>
        <w:rPr>
          <w:rFonts w:ascii="Arial" w:hAnsi="Arial" w:cs="Arial"/>
          <w:color w:val="000000"/>
          <w:sz w:val="20"/>
          <w:szCs w:val="20"/>
        </w:rPr>
        <w:t>)</w:t>
      </w:r>
      <w:r>
        <w:rPr>
          <w:rFonts w:ascii="Arial" w:hAnsi="Arial" w:cs="Arial"/>
          <w:color w:val="000000"/>
          <w:sz w:val="20"/>
          <w:szCs w:val="20"/>
        </w:rPr>
        <w:br/>
        <w:t>Chief General Manager</w:t>
      </w:r>
    </w:p>
    <w:p w:rsidR="006458AB" w:rsidRDefault="006458AB" w:rsidP="006458AB">
      <w:pPr>
        <w:pStyle w:val="NormalWeb"/>
        <w:rPr>
          <w:rFonts w:ascii="Arial" w:hAnsi="Arial" w:cs="Arial"/>
          <w:color w:val="000000"/>
          <w:sz w:val="20"/>
          <w:szCs w:val="20"/>
        </w:rPr>
      </w:pPr>
    </w:p>
    <w:p w:rsidR="006458AB" w:rsidRDefault="006458AB" w:rsidP="006458AB">
      <w:pPr>
        <w:pStyle w:val="NormalWeb"/>
        <w:rPr>
          <w:rFonts w:ascii="Arial" w:hAnsi="Arial" w:cs="Arial"/>
          <w:color w:val="000000"/>
          <w:sz w:val="20"/>
          <w:szCs w:val="20"/>
        </w:rPr>
      </w:pPr>
    </w:p>
    <w:p w:rsidR="006458AB" w:rsidRDefault="006458AB" w:rsidP="006458AB">
      <w:pPr>
        <w:pStyle w:val="NormalWeb"/>
        <w:rPr>
          <w:rFonts w:ascii="Arial" w:hAnsi="Arial" w:cs="Arial"/>
          <w:color w:val="000000"/>
          <w:sz w:val="20"/>
          <w:szCs w:val="20"/>
        </w:rPr>
      </w:pPr>
    </w:p>
    <w:p w:rsidR="006458AB" w:rsidRDefault="006458AB" w:rsidP="006458AB">
      <w:r>
        <w:t>More details can be referred to in the below link.</w:t>
      </w:r>
    </w:p>
    <w:p w:rsidR="006458AB" w:rsidRDefault="006458AB" w:rsidP="006458AB">
      <w:pPr>
        <w:pStyle w:val="NormalWeb"/>
        <w:rPr>
          <w:rFonts w:ascii="Arial" w:hAnsi="Arial" w:cs="Arial"/>
          <w:bCs/>
          <w:color w:val="000000"/>
          <w:sz w:val="20"/>
          <w:szCs w:val="20"/>
        </w:rPr>
      </w:pPr>
      <w:r>
        <w:rPr>
          <w:rFonts w:ascii="Arial" w:hAnsi="Arial" w:cs="Arial"/>
          <w:bCs/>
          <w:color w:val="000000"/>
          <w:sz w:val="20"/>
          <w:szCs w:val="20"/>
        </w:rPr>
        <w:t xml:space="preserve">Reference Link: </w:t>
      </w:r>
      <w:hyperlink r:id="rId12" w:history="1">
        <w:r w:rsidRPr="006865D6">
          <w:rPr>
            <w:rStyle w:val="Hyperlink"/>
            <w:rFonts w:ascii="Arial" w:hAnsi="Arial" w:cs="Arial"/>
            <w:bCs/>
            <w:sz w:val="20"/>
            <w:szCs w:val="20"/>
          </w:rPr>
          <w:t>https://www.rbi.org.in/Scripts/NotificationUser.aspx?Id=12348&amp;Mode=0</w:t>
        </w:r>
      </w:hyperlink>
    </w:p>
    <w:p w:rsidR="006458AB" w:rsidRDefault="006458AB" w:rsidP="006458AB">
      <w:pPr>
        <w:pStyle w:val="NormalWeb"/>
        <w:rPr>
          <w:rFonts w:ascii="Arial" w:hAnsi="Arial" w:cs="Arial"/>
          <w:color w:val="000000"/>
          <w:sz w:val="20"/>
          <w:szCs w:val="20"/>
        </w:rPr>
      </w:pPr>
    </w:p>
    <w:p w:rsidR="00E653FA" w:rsidRDefault="00E653FA" w:rsidP="008C7A02">
      <w:pPr>
        <w:jc w:val="both"/>
        <w:rPr>
          <w:rFonts w:ascii="Arial" w:hAnsi="Arial" w:cs="Arial"/>
          <w:b/>
          <w:bCs/>
          <w:color w:val="000000"/>
          <w:sz w:val="20"/>
          <w:szCs w:val="20"/>
        </w:rPr>
      </w:pPr>
    </w:p>
    <w:p w:rsidR="006458AB" w:rsidRDefault="006458AB" w:rsidP="006458AB">
      <w:pPr>
        <w:rPr>
          <w:rFonts w:ascii="Arial" w:hAnsi="Arial" w:cs="Arial"/>
          <w:b/>
          <w:bCs/>
          <w:color w:val="000000"/>
          <w:sz w:val="20"/>
          <w:szCs w:val="20"/>
        </w:rPr>
      </w:pPr>
      <w:r>
        <w:rPr>
          <w:rFonts w:ascii="Arial" w:hAnsi="Arial" w:cs="Arial"/>
          <w:b/>
          <w:bCs/>
          <w:color w:val="000000"/>
          <w:sz w:val="20"/>
          <w:szCs w:val="20"/>
        </w:rPr>
        <w:lastRenderedPageBreak/>
        <w:t>Master Direction on Interest Rate on Deposits - Foreign Currency (Non-resident) Accounts (Banks) Scheme [FCNR(B)] and Non-Resident (External) Rupee (NRE) Deposit</w:t>
      </w:r>
    </w:p>
    <w:p w:rsidR="006458AB" w:rsidRDefault="006458AB" w:rsidP="006458AB">
      <w:pPr>
        <w:pStyle w:val="NormalWeb"/>
        <w:rPr>
          <w:rFonts w:ascii="Arial" w:hAnsi="Arial" w:cs="Arial"/>
          <w:color w:val="000000"/>
          <w:sz w:val="20"/>
          <w:szCs w:val="20"/>
        </w:rPr>
      </w:pPr>
      <w:r>
        <w:rPr>
          <w:rFonts w:ascii="Arial" w:hAnsi="Arial" w:cs="Arial"/>
          <w:color w:val="000000"/>
          <w:sz w:val="20"/>
          <w:szCs w:val="20"/>
        </w:rPr>
        <w:t>RBI/2022-23/82</w:t>
      </w:r>
      <w:r>
        <w:rPr>
          <w:rFonts w:ascii="Arial" w:hAnsi="Arial" w:cs="Arial"/>
          <w:color w:val="000000"/>
          <w:sz w:val="20"/>
          <w:szCs w:val="20"/>
        </w:rPr>
        <w:br/>
        <w:t>DOR.SOG (SPE).</w:t>
      </w:r>
      <w:proofErr w:type="spellStart"/>
      <w:r>
        <w:rPr>
          <w:rFonts w:ascii="Arial" w:hAnsi="Arial" w:cs="Arial"/>
          <w:color w:val="000000"/>
          <w:sz w:val="20"/>
          <w:szCs w:val="20"/>
        </w:rPr>
        <w:t>REC.No</w:t>
      </w:r>
      <w:proofErr w:type="spellEnd"/>
      <w:r>
        <w:rPr>
          <w:rFonts w:ascii="Arial" w:hAnsi="Arial" w:cs="Arial"/>
          <w:color w:val="000000"/>
          <w:sz w:val="20"/>
          <w:szCs w:val="20"/>
        </w:rPr>
        <w:t xml:space="preserve"> 53/13.03.000/2022-23</w:t>
      </w:r>
    </w:p>
    <w:p w:rsidR="006458AB" w:rsidRDefault="006458AB" w:rsidP="006458AB">
      <w:pPr>
        <w:pStyle w:val="NormalWeb"/>
        <w:jc w:val="right"/>
        <w:rPr>
          <w:rFonts w:ascii="Arial" w:hAnsi="Arial" w:cs="Arial"/>
          <w:color w:val="000000"/>
          <w:sz w:val="20"/>
          <w:szCs w:val="20"/>
        </w:rPr>
      </w:pPr>
      <w:r>
        <w:rPr>
          <w:rFonts w:ascii="Arial" w:hAnsi="Arial" w:cs="Arial"/>
          <w:color w:val="000000"/>
          <w:sz w:val="20"/>
          <w:szCs w:val="20"/>
        </w:rPr>
        <w:t>July 06, 2022</w:t>
      </w:r>
    </w:p>
    <w:p w:rsidR="006458AB" w:rsidRDefault="006458AB" w:rsidP="006458AB">
      <w:pPr>
        <w:pStyle w:val="NormalWeb"/>
        <w:rPr>
          <w:rFonts w:ascii="Arial" w:hAnsi="Arial" w:cs="Arial"/>
          <w:color w:val="000000"/>
          <w:sz w:val="20"/>
          <w:szCs w:val="20"/>
        </w:rPr>
      </w:pPr>
      <w:r>
        <w:rPr>
          <w:rFonts w:ascii="Arial" w:hAnsi="Arial" w:cs="Arial"/>
          <w:color w:val="000000"/>
          <w:sz w:val="20"/>
          <w:szCs w:val="20"/>
        </w:rPr>
        <w:t>All Scheduled Commercial Banks (including Regional Rural Banks)</w:t>
      </w:r>
      <w:r>
        <w:rPr>
          <w:rFonts w:ascii="Arial" w:hAnsi="Arial" w:cs="Arial"/>
          <w:color w:val="000000"/>
          <w:sz w:val="20"/>
          <w:szCs w:val="20"/>
        </w:rPr>
        <w:br/>
        <w:t>All Small Finance Banks</w:t>
      </w:r>
      <w:r>
        <w:rPr>
          <w:rFonts w:ascii="Arial" w:hAnsi="Arial" w:cs="Arial"/>
          <w:color w:val="000000"/>
          <w:sz w:val="20"/>
          <w:szCs w:val="20"/>
        </w:rPr>
        <w:br/>
        <w:t>All Local Area Banks</w:t>
      </w:r>
      <w:r>
        <w:rPr>
          <w:rFonts w:ascii="Arial" w:hAnsi="Arial" w:cs="Arial"/>
          <w:color w:val="000000"/>
          <w:sz w:val="20"/>
          <w:szCs w:val="20"/>
        </w:rPr>
        <w:br/>
        <w:t>All Payment Banks</w:t>
      </w:r>
      <w:r>
        <w:rPr>
          <w:rFonts w:ascii="Arial" w:hAnsi="Arial" w:cs="Arial"/>
          <w:color w:val="000000"/>
          <w:sz w:val="20"/>
          <w:szCs w:val="20"/>
        </w:rPr>
        <w:br/>
        <w:t>All Primary (Urban) Co-operative Banks/ DCCBs /State Cooperative Banks</w:t>
      </w:r>
    </w:p>
    <w:p w:rsidR="006458AB" w:rsidRDefault="006458AB" w:rsidP="006458AB">
      <w:pPr>
        <w:pStyle w:val="NormalWeb"/>
        <w:rPr>
          <w:rFonts w:ascii="Arial" w:hAnsi="Arial" w:cs="Arial"/>
          <w:color w:val="000000"/>
          <w:sz w:val="20"/>
          <w:szCs w:val="20"/>
        </w:rPr>
      </w:pPr>
      <w:r>
        <w:rPr>
          <w:rFonts w:ascii="Arial" w:hAnsi="Arial" w:cs="Arial"/>
          <w:color w:val="000000"/>
          <w:sz w:val="20"/>
          <w:szCs w:val="20"/>
        </w:rPr>
        <w:t>Dear Sir / Madam,</w:t>
      </w:r>
    </w:p>
    <w:p w:rsidR="006458AB" w:rsidRDefault="006458AB" w:rsidP="006458AB">
      <w:pPr>
        <w:pStyle w:val="head"/>
        <w:rPr>
          <w:rFonts w:ascii="Arial" w:hAnsi="Arial" w:cs="Arial"/>
          <w:b/>
          <w:bCs/>
          <w:color w:val="000000"/>
          <w:sz w:val="20"/>
          <w:szCs w:val="20"/>
        </w:rPr>
      </w:pPr>
      <w:r>
        <w:rPr>
          <w:rFonts w:ascii="Arial" w:hAnsi="Arial" w:cs="Arial"/>
          <w:b/>
          <w:bCs/>
          <w:color w:val="000000"/>
          <w:sz w:val="20"/>
          <w:szCs w:val="20"/>
        </w:rPr>
        <w:t>Master Direction on Interest Rate on Deposits - Foreign Currency (Non-resident) Accounts (Banks) Scheme [FCNR(B)] and Non-Resident (External) Rupee (NRE) Deposit</w:t>
      </w:r>
    </w:p>
    <w:p w:rsidR="006458AB" w:rsidRDefault="006458AB" w:rsidP="006458AB">
      <w:pPr>
        <w:pStyle w:val="NormalWeb"/>
        <w:rPr>
          <w:rFonts w:ascii="Arial" w:hAnsi="Arial" w:cs="Arial"/>
          <w:color w:val="000000"/>
          <w:sz w:val="20"/>
          <w:szCs w:val="20"/>
        </w:rPr>
      </w:pPr>
      <w:r>
        <w:rPr>
          <w:rFonts w:ascii="Arial" w:hAnsi="Arial" w:cs="Arial"/>
          <w:color w:val="000000"/>
          <w:sz w:val="20"/>
          <w:szCs w:val="20"/>
        </w:rPr>
        <w:t>Please refer to the instructions regarding interest rates on FCNR (B) deposits contained in Section 19 of the </w:t>
      </w:r>
      <w:hyperlink r:id="rId13" w:tgtFrame="_blank" w:history="1">
        <w:r>
          <w:rPr>
            <w:rStyle w:val="Hyperlink"/>
            <w:rFonts w:ascii="Arial" w:hAnsi="Arial" w:cs="Arial"/>
            <w:sz w:val="20"/>
            <w:szCs w:val="20"/>
          </w:rPr>
          <w:t>Master Direction (MD) on Interest Rate on Deposits dated March 03, 2016</w:t>
        </w:r>
      </w:hyperlink>
      <w:r>
        <w:rPr>
          <w:rFonts w:ascii="Arial" w:hAnsi="Arial" w:cs="Arial"/>
          <w:color w:val="000000"/>
          <w:sz w:val="20"/>
          <w:szCs w:val="20"/>
        </w:rPr>
        <w:t> and Section 18 of the </w:t>
      </w:r>
      <w:hyperlink r:id="rId14" w:tgtFrame="_blank" w:history="1">
        <w:r>
          <w:rPr>
            <w:rStyle w:val="Hyperlink"/>
            <w:rFonts w:ascii="Arial" w:hAnsi="Arial" w:cs="Arial"/>
            <w:sz w:val="20"/>
            <w:szCs w:val="20"/>
          </w:rPr>
          <w:t>Master Direction (MD) on Interest Rate on Deposits dated May 12, 2016</w:t>
        </w:r>
      </w:hyperlink>
      <w:r>
        <w:rPr>
          <w:rFonts w:ascii="Arial" w:hAnsi="Arial" w:cs="Arial"/>
          <w:color w:val="000000"/>
          <w:sz w:val="20"/>
          <w:szCs w:val="20"/>
        </w:rPr>
        <w:t>. In this connection, banks are advised that with effect from July 07, 2022, the interest rate ceiling applicable to FCNR (B) deposits is being temporarily withdrawn for incremental FCNR (B) deposits mobilized by banks for the period until October 31, 2022.</w:t>
      </w:r>
    </w:p>
    <w:p w:rsidR="006458AB" w:rsidRDefault="006458AB" w:rsidP="006458AB">
      <w:pPr>
        <w:pStyle w:val="NormalWeb"/>
        <w:rPr>
          <w:rFonts w:ascii="Arial" w:hAnsi="Arial" w:cs="Arial"/>
          <w:color w:val="000000"/>
          <w:sz w:val="20"/>
          <w:szCs w:val="20"/>
        </w:rPr>
      </w:pPr>
      <w:r>
        <w:rPr>
          <w:rFonts w:ascii="Arial" w:hAnsi="Arial" w:cs="Arial"/>
          <w:color w:val="000000"/>
          <w:sz w:val="20"/>
          <w:szCs w:val="20"/>
        </w:rPr>
        <w:t>2. Further, in terms of Section 15 (d) and Section 14 (d) of the above-mentioned MDs respectively, interest rates on NRE deposits shall not be higher than those offered by the banks on comparable domestic rupee term deposits. In this regard, the said restriction with respect to interest rates offered on incremental NRE deposits mobilized by banks shall be temporarily withdrawn with effect from July 07, 2022, for the period until October 31, 2022. The above relaxation shall not be applicable to Ordinary Non-Resident (NRO) Deposits.</w:t>
      </w:r>
    </w:p>
    <w:p w:rsidR="006458AB" w:rsidRDefault="006458AB" w:rsidP="006458AB">
      <w:pPr>
        <w:pStyle w:val="NormalWeb"/>
        <w:rPr>
          <w:rFonts w:ascii="Arial" w:hAnsi="Arial" w:cs="Arial"/>
          <w:color w:val="000000"/>
          <w:sz w:val="20"/>
          <w:szCs w:val="20"/>
        </w:rPr>
      </w:pPr>
      <w:r>
        <w:rPr>
          <w:rFonts w:ascii="Arial" w:hAnsi="Arial" w:cs="Arial"/>
          <w:color w:val="000000"/>
          <w:sz w:val="20"/>
          <w:szCs w:val="20"/>
        </w:rPr>
        <w:t>3. These concessions will be subject to review.</w:t>
      </w:r>
    </w:p>
    <w:p w:rsidR="006458AB" w:rsidRDefault="006458AB" w:rsidP="006458AB">
      <w:pPr>
        <w:pStyle w:val="NormalWeb"/>
        <w:rPr>
          <w:rFonts w:ascii="Arial" w:hAnsi="Arial" w:cs="Arial"/>
          <w:color w:val="000000"/>
          <w:sz w:val="20"/>
          <w:szCs w:val="20"/>
        </w:rPr>
      </w:pPr>
      <w:r>
        <w:rPr>
          <w:rFonts w:ascii="Arial" w:hAnsi="Arial" w:cs="Arial"/>
          <w:color w:val="000000"/>
          <w:sz w:val="20"/>
          <w:szCs w:val="20"/>
        </w:rPr>
        <w:t>4. All other instructions in this regard shall remain unchanged.</w:t>
      </w:r>
    </w:p>
    <w:p w:rsidR="006458AB" w:rsidRDefault="006458AB" w:rsidP="006458AB">
      <w:pPr>
        <w:pStyle w:val="NormalWeb"/>
        <w:rPr>
          <w:rFonts w:ascii="Arial" w:hAnsi="Arial" w:cs="Arial"/>
          <w:color w:val="000000"/>
          <w:sz w:val="20"/>
          <w:szCs w:val="20"/>
        </w:rPr>
      </w:pPr>
      <w:r>
        <w:rPr>
          <w:rFonts w:ascii="Arial" w:hAnsi="Arial" w:cs="Arial"/>
          <w:color w:val="000000"/>
          <w:sz w:val="20"/>
          <w:szCs w:val="20"/>
        </w:rPr>
        <w:t>Yours faithfully,</w:t>
      </w:r>
    </w:p>
    <w:p w:rsidR="006458AB" w:rsidRDefault="006458AB" w:rsidP="006458AB">
      <w:pPr>
        <w:pStyle w:val="NormalWeb"/>
        <w:rPr>
          <w:rFonts w:ascii="Arial" w:hAnsi="Arial" w:cs="Arial"/>
          <w:color w:val="000000"/>
          <w:sz w:val="20"/>
          <w:szCs w:val="20"/>
        </w:rPr>
      </w:pPr>
      <w:r>
        <w:rPr>
          <w:rFonts w:ascii="Arial" w:hAnsi="Arial" w:cs="Arial"/>
          <w:color w:val="000000"/>
          <w:sz w:val="20"/>
          <w:szCs w:val="20"/>
        </w:rPr>
        <w:t xml:space="preserve">(Santosh Kumar </w:t>
      </w:r>
      <w:proofErr w:type="spellStart"/>
      <w:r>
        <w:rPr>
          <w:rFonts w:ascii="Arial" w:hAnsi="Arial" w:cs="Arial"/>
          <w:color w:val="000000"/>
          <w:sz w:val="20"/>
          <w:szCs w:val="20"/>
        </w:rPr>
        <w:t>Panigrahy</w:t>
      </w:r>
      <w:proofErr w:type="spellEnd"/>
      <w:r>
        <w:rPr>
          <w:rFonts w:ascii="Arial" w:hAnsi="Arial" w:cs="Arial"/>
          <w:color w:val="000000"/>
          <w:sz w:val="20"/>
          <w:szCs w:val="20"/>
        </w:rPr>
        <w:t>)</w:t>
      </w:r>
      <w:r>
        <w:rPr>
          <w:rFonts w:ascii="Arial" w:hAnsi="Arial" w:cs="Arial"/>
          <w:color w:val="000000"/>
          <w:sz w:val="20"/>
          <w:szCs w:val="20"/>
        </w:rPr>
        <w:br/>
        <w:t>Chief General Manager</w:t>
      </w:r>
    </w:p>
    <w:p w:rsidR="006458AB" w:rsidRDefault="006458AB" w:rsidP="006458AB">
      <w:pPr>
        <w:rPr>
          <w:rFonts w:ascii="Arial" w:hAnsi="Arial" w:cs="Arial"/>
          <w:sz w:val="20"/>
          <w:szCs w:val="20"/>
        </w:rPr>
      </w:pPr>
    </w:p>
    <w:p w:rsidR="006458AB" w:rsidRDefault="006458AB" w:rsidP="006458AB">
      <w:pPr>
        <w:rPr>
          <w:rFonts w:ascii="Arial" w:hAnsi="Arial" w:cs="Arial"/>
          <w:sz w:val="20"/>
          <w:szCs w:val="20"/>
        </w:rPr>
      </w:pPr>
    </w:p>
    <w:p w:rsidR="006458AB" w:rsidRDefault="006458AB" w:rsidP="006458AB">
      <w:pPr>
        <w:rPr>
          <w:rFonts w:ascii="Arial" w:hAnsi="Arial" w:cs="Arial"/>
          <w:sz w:val="20"/>
          <w:szCs w:val="20"/>
        </w:rPr>
      </w:pPr>
    </w:p>
    <w:p w:rsidR="006458AB" w:rsidRDefault="006458AB" w:rsidP="006458AB">
      <w:r>
        <w:t>More details can be referred to in the below link.</w:t>
      </w:r>
    </w:p>
    <w:p w:rsidR="006458AB" w:rsidRDefault="006458AB" w:rsidP="006458AB">
      <w:pPr>
        <w:rPr>
          <w:rFonts w:ascii="Arial" w:hAnsi="Arial" w:cs="Arial"/>
          <w:bCs/>
          <w:color w:val="000000"/>
          <w:sz w:val="20"/>
          <w:szCs w:val="20"/>
        </w:rPr>
      </w:pPr>
      <w:r>
        <w:rPr>
          <w:rFonts w:ascii="Arial" w:hAnsi="Arial" w:cs="Arial"/>
          <w:bCs/>
          <w:color w:val="000000"/>
          <w:sz w:val="20"/>
          <w:szCs w:val="20"/>
        </w:rPr>
        <w:t xml:space="preserve">Reference Link: </w:t>
      </w:r>
      <w:hyperlink r:id="rId15" w:history="1">
        <w:r w:rsidRPr="006865D6">
          <w:rPr>
            <w:rStyle w:val="Hyperlink"/>
            <w:rFonts w:ascii="Arial" w:hAnsi="Arial" w:cs="Arial"/>
            <w:bCs/>
            <w:sz w:val="20"/>
            <w:szCs w:val="20"/>
          </w:rPr>
          <w:t>https://rbi.org.in/Scripts/NotificationUser.aspx?Id=12350&amp;Mode=0</w:t>
        </w:r>
      </w:hyperlink>
    </w:p>
    <w:p w:rsidR="006458AB" w:rsidRDefault="006458AB" w:rsidP="006458AB">
      <w:pPr>
        <w:rPr>
          <w:rFonts w:ascii="Arial" w:hAnsi="Arial" w:cs="Arial"/>
          <w:sz w:val="20"/>
          <w:szCs w:val="20"/>
        </w:rPr>
      </w:pPr>
    </w:p>
    <w:p w:rsidR="006458AB" w:rsidRDefault="006458AB" w:rsidP="006458AB">
      <w:pPr>
        <w:rPr>
          <w:rFonts w:ascii="Arial" w:hAnsi="Arial" w:cs="Arial"/>
          <w:sz w:val="20"/>
          <w:szCs w:val="20"/>
        </w:rPr>
      </w:pPr>
    </w:p>
    <w:p w:rsidR="006458AB" w:rsidRDefault="006458AB" w:rsidP="008C7A02">
      <w:pPr>
        <w:jc w:val="both"/>
        <w:rPr>
          <w:rFonts w:ascii="Arial" w:hAnsi="Arial" w:cs="Arial"/>
          <w:b/>
          <w:bCs/>
          <w:color w:val="000000"/>
          <w:sz w:val="20"/>
          <w:szCs w:val="20"/>
        </w:rPr>
      </w:pPr>
    </w:p>
    <w:p w:rsidR="006458AB" w:rsidRDefault="006458AB" w:rsidP="008C7A02">
      <w:pPr>
        <w:jc w:val="both"/>
        <w:rPr>
          <w:rFonts w:ascii="Arial" w:hAnsi="Arial" w:cs="Arial"/>
          <w:b/>
          <w:bCs/>
          <w:color w:val="000000"/>
          <w:sz w:val="20"/>
          <w:szCs w:val="20"/>
        </w:rPr>
      </w:pPr>
    </w:p>
    <w:p w:rsidR="006458AB" w:rsidRDefault="006458AB" w:rsidP="006458AB">
      <w:pPr>
        <w:rPr>
          <w:rFonts w:ascii="Arial" w:hAnsi="Arial" w:cs="Arial"/>
          <w:b/>
          <w:bCs/>
          <w:color w:val="000000"/>
          <w:sz w:val="20"/>
          <w:szCs w:val="20"/>
        </w:rPr>
      </w:pPr>
      <w:r>
        <w:rPr>
          <w:rFonts w:ascii="Arial" w:hAnsi="Arial" w:cs="Arial"/>
          <w:b/>
          <w:bCs/>
          <w:color w:val="000000"/>
          <w:sz w:val="20"/>
          <w:szCs w:val="20"/>
        </w:rPr>
        <w:lastRenderedPageBreak/>
        <w:t>Section 42 of the Reserve Bank of India Act, 1934 and Section 18 and 24 of the Banking Regulation Act, 1949 – FCNR (B)/NRE Term deposits - Exemption from maintenance of CRR/SLR</w:t>
      </w:r>
    </w:p>
    <w:p w:rsidR="006458AB" w:rsidRPr="0001134A" w:rsidRDefault="006458AB" w:rsidP="006458AB">
      <w:pPr>
        <w:spacing w:before="100" w:beforeAutospacing="1" w:after="100" w:afterAutospacing="1" w:line="240" w:lineRule="auto"/>
        <w:rPr>
          <w:rFonts w:ascii="Arial" w:eastAsia="Times New Roman" w:hAnsi="Arial" w:cs="Arial"/>
          <w:color w:val="000000"/>
          <w:sz w:val="20"/>
          <w:szCs w:val="20"/>
          <w:lang w:eastAsia="en-IN"/>
        </w:rPr>
      </w:pPr>
      <w:r w:rsidRPr="0001134A">
        <w:rPr>
          <w:rFonts w:ascii="Arial" w:eastAsia="Times New Roman" w:hAnsi="Arial" w:cs="Arial"/>
          <w:color w:val="000000"/>
          <w:sz w:val="20"/>
          <w:szCs w:val="20"/>
          <w:lang w:eastAsia="en-IN"/>
        </w:rPr>
        <w:t>RBI/2022-23/83</w:t>
      </w:r>
      <w:r w:rsidRPr="0001134A">
        <w:rPr>
          <w:rFonts w:ascii="Arial" w:eastAsia="Times New Roman" w:hAnsi="Arial" w:cs="Arial"/>
          <w:color w:val="000000"/>
          <w:sz w:val="20"/>
          <w:szCs w:val="20"/>
          <w:lang w:eastAsia="en-IN"/>
        </w:rPr>
        <w:br/>
        <w:t>DOR.RET.REC.54/12.01.001/2022-23</w:t>
      </w:r>
    </w:p>
    <w:p w:rsidR="006458AB" w:rsidRPr="0001134A" w:rsidRDefault="006458AB" w:rsidP="006458AB">
      <w:pPr>
        <w:spacing w:before="100" w:beforeAutospacing="1" w:after="100" w:afterAutospacing="1" w:line="240" w:lineRule="auto"/>
        <w:jc w:val="right"/>
        <w:rPr>
          <w:rFonts w:ascii="Arial" w:eastAsia="Times New Roman" w:hAnsi="Arial" w:cs="Arial"/>
          <w:color w:val="000000"/>
          <w:sz w:val="20"/>
          <w:szCs w:val="20"/>
          <w:lang w:eastAsia="en-IN"/>
        </w:rPr>
      </w:pPr>
      <w:r w:rsidRPr="0001134A">
        <w:rPr>
          <w:rFonts w:ascii="Arial" w:eastAsia="Times New Roman" w:hAnsi="Arial" w:cs="Arial"/>
          <w:color w:val="000000"/>
          <w:sz w:val="20"/>
          <w:szCs w:val="20"/>
          <w:lang w:eastAsia="en-IN"/>
        </w:rPr>
        <w:t>July 06, 2022</w:t>
      </w:r>
    </w:p>
    <w:p w:rsidR="006458AB" w:rsidRPr="0001134A" w:rsidRDefault="006458AB" w:rsidP="006458AB">
      <w:pPr>
        <w:spacing w:before="100" w:beforeAutospacing="1" w:after="100" w:afterAutospacing="1" w:line="240" w:lineRule="auto"/>
        <w:rPr>
          <w:rFonts w:ascii="Arial" w:eastAsia="Times New Roman" w:hAnsi="Arial" w:cs="Arial"/>
          <w:color w:val="000000"/>
          <w:sz w:val="20"/>
          <w:szCs w:val="20"/>
          <w:lang w:eastAsia="en-IN"/>
        </w:rPr>
      </w:pPr>
      <w:r w:rsidRPr="0001134A">
        <w:rPr>
          <w:rFonts w:ascii="Arial" w:eastAsia="Times New Roman" w:hAnsi="Arial" w:cs="Arial"/>
          <w:color w:val="000000"/>
          <w:sz w:val="20"/>
          <w:szCs w:val="20"/>
          <w:lang w:eastAsia="en-IN"/>
        </w:rPr>
        <w:t>All Scheduled Commercial Banks (including Regional Rural Banks)</w:t>
      </w:r>
      <w:r w:rsidRPr="0001134A">
        <w:rPr>
          <w:rFonts w:ascii="Arial" w:eastAsia="Times New Roman" w:hAnsi="Arial" w:cs="Arial"/>
          <w:color w:val="000000"/>
          <w:sz w:val="20"/>
          <w:szCs w:val="20"/>
          <w:lang w:eastAsia="en-IN"/>
        </w:rPr>
        <w:br/>
        <w:t>Local Area Banks, Small Finance Banks, Payments Banks</w:t>
      </w:r>
      <w:r w:rsidRPr="0001134A">
        <w:rPr>
          <w:rFonts w:ascii="Arial" w:eastAsia="Times New Roman" w:hAnsi="Arial" w:cs="Arial"/>
          <w:color w:val="000000"/>
          <w:sz w:val="20"/>
          <w:szCs w:val="20"/>
          <w:lang w:eastAsia="en-IN"/>
        </w:rPr>
        <w:br/>
        <w:t>Primary (Urban) Co-operative Banks (UCBs)</w:t>
      </w:r>
      <w:r w:rsidRPr="0001134A">
        <w:rPr>
          <w:rFonts w:ascii="Arial" w:eastAsia="Times New Roman" w:hAnsi="Arial" w:cs="Arial"/>
          <w:color w:val="000000"/>
          <w:sz w:val="20"/>
          <w:szCs w:val="20"/>
          <w:lang w:eastAsia="en-IN"/>
        </w:rPr>
        <w:br/>
        <w:t>State and Central Co-operative Banks (</w:t>
      </w:r>
      <w:proofErr w:type="spellStart"/>
      <w:r w:rsidRPr="0001134A">
        <w:rPr>
          <w:rFonts w:ascii="Arial" w:eastAsia="Times New Roman" w:hAnsi="Arial" w:cs="Arial"/>
          <w:color w:val="000000"/>
          <w:sz w:val="20"/>
          <w:szCs w:val="20"/>
          <w:lang w:eastAsia="en-IN"/>
        </w:rPr>
        <w:t>StCBs</w:t>
      </w:r>
      <w:proofErr w:type="spellEnd"/>
      <w:r w:rsidRPr="0001134A">
        <w:rPr>
          <w:rFonts w:ascii="Arial" w:eastAsia="Times New Roman" w:hAnsi="Arial" w:cs="Arial"/>
          <w:color w:val="000000"/>
          <w:sz w:val="20"/>
          <w:szCs w:val="20"/>
          <w:lang w:eastAsia="en-IN"/>
        </w:rPr>
        <w:t xml:space="preserve"> / CCBs)</w:t>
      </w:r>
    </w:p>
    <w:p w:rsidR="006458AB" w:rsidRPr="0001134A" w:rsidRDefault="006458AB" w:rsidP="006458AB">
      <w:pPr>
        <w:spacing w:before="100" w:beforeAutospacing="1" w:after="100" w:afterAutospacing="1" w:line="240" w:lineRule="auto"/>
        <w:rPr>
          <w:rFonts w:ascii="Arial" w:eastAsia="Times New Roman" w:hAnsi="Arial" w:cs="Arial"/>
          <w:color w:val="000000"/>
          <w:sz w:val="20"/>
          <w:szCs w:val="20"/>
          <w:lang w:eastAsia="en-IN"/>
        </w:rPr>
      </w:pPr>
      <w:r w:rsidRPr="0001134A">
        <w:rPr>
          <w:rFonts w:ascii="Arial" w:eastAsia="Times New Roman" w:hAnsi="Arial" w:cs="Arial"/>
          <w:color w:val="000000"/>
          <w:sz w:val="20"/>
          <w:szCs w:val="20"/>
          <w:lang w:eastAsia="en-IN"/>
        </w:rPr>
        <w:t>Madam/Dear Sir,</w:t>
      </w:r>
    </w:p>
    <w:p w:rsidR="006458AB" w:rsidRPr="0001134A" w:rsidRDefault="006458AB" w:rsidP="006458AB">
      <w:pPr>
        <w:spacing w:before="100" w:beforeAutospacing="1" w:after="100" w:afterAutospacing="1" w:line="240" w:lineRule="auto"/>
        <w:rPr>
          <w:rFonts w:ascii="Arial" w:eastAsia="Times New Roman" w:hAnsi="Arial" w:cs="Arial"/>
          <w:b/>
          <w:bCs/>
          <w:color w:val="000000"/>
          <w:sz w:val="20"/>
          <w:szCs w:val="20"/>
          <w:lang w:eastAsia="en-IN"/>
        </w:rPr>
      </w:pPr>
      <w:r w:rsidRPr="0001134A">
        <w:rPr>
          <w:rFonts w:ascii="Arial" w:eastAsia="Times New Roman" w:hAnsi="Arial" w:cs="Arial"/>
          <w:b/>
          <w:bCs/>
          <w:color w:val="000000"/>
          <w:sz w:val="20"/>
          <w:szCs w:val="20"/>
          <w:lang w:eastAsia="en-IN"/>
        </w:rPr>
        <w:t>Section 42 of the Reserve Bank of India Act, 1934 and Section 18 and 24 of the Banking Regulation Act, 1949 – FCNR (B)/NRE Term deposits - Exemption from maintenance of CRR/SLR</w:t>
      </w:r>
    </w:p>
    <w:p w:rsidR="006458AB" w:rsidRPr="0001134A" w:rsidRDefault="006458AB" w:rsidP="006458AB">
      <w:pPr>
        <w:spacing w:before="100" w:beforeAutospacing="1" w:after="100" w:afterAutospacing="1" w:line="240" w:lineRule="auto"/>
        <w:rPr>
          <w:rFonts w:ascii="Arial" w:eastAsia="Times New Roman" w:hAnsi="Arial" w:cs="Arial"/>
          <w:color w:val="000000"/>
          <w:sz w:val="20"/>
          <w:szCs w:val="20"/>
          <w:lang w:eastAsia="en-IN"/>
        </w:rPr>
      </w:pPr>
      <w:r w:rsidRPr="0001134A">
        <w:rPr>
          <w:rFonts w:ascii="Arial" w:eastAsia="Times New Roman" w:hAnsi="Arial" w:cs="Arial"/>
          <w:color w:val="000000"/>
          <w:sz w:val="20"/>
          <w:szCs w:val="20"/>
          <w:lang w:eastAsia="en-IN"/>
        </w:rPr>
        <w:t>At present, banks are required to include all Foreign Currency Non-Resident (Bank) [FCNR (B)] and Non-Resident (External) Rupee (NRE) deposit liabilities for computation of Net Demand and Time Liabilities (NDTL) for maintenance of CRR and SLR.</w:t>
      </w:r>
    </w:p>
    <w:p w:rsidR="006458AB" w:rsidRPr="0001134A" w:rsidRDefault="006458AB" w:rsidP="006458AB">
      <w:pPr>
        <w:spacing w:before="100" w:beforeAutospacing="1" w:after="100" w:afterAutospacing="1" w:line="240" w:lineRule="auto"/>
        <w:rPr>
          <w:rFonts w:ascii="Arial" w:eastAsia="Times New Roman" w:hAnsi="Arial" w:cs="Arial"/>
          <w:color w:val="000000"/>
          <w:sz w:val="20"/>
          <w:szCs w:val="20"/>
          <w:lang w:eastAsia="en-IN"/>
        </w:rPr>
      </w:pPr>
      <w:r w:rsidRPr="0001134A">
        <w:rPr>
          <w:rFonts w:ascii="Arial" w:eastAsia="Times New Roman" w:hAnsi="Arial" w:cs="Arial"/>
          <w:color w:val="000000"/>
          <w:sz w:val="20"/>
          <w:szCs w:val="20"/>
          <w:lang w:eastAsia="en-IN"/>
        </w:rPr>
        <w:t>2. Banks are advised that with effect from the reporting fortnight beginning July 30, 2022, incremental FCNR (B) deposits as also NRE Term deposits with reference to base date of July 1, 2022, mobilised by banks will be exempt from maintenance of CRR and SLR. To amplify, if a bank had total FCNR (B) deposit of say USD 100 as on the base date, and mobilises an incremental deposit of say USD 20, that portion of USD 20 will not be part of liabilities reckoned for the purpose of NDTL computation for CRR and SLR maintenance with effect from the fortnight beginning July 30, 2022. The same principle will apply for calculation of NRE Term deposits for exemption from maintenance of CRR/SLR requirements. However, any transfer from Non-Resident (Ordinary) (NRO) accounts to NRE accounts will not qualify for such exemptions.</w:t>
      </w:r>
    </w:p>
    <w:p w:rsidR="006458AB" w:rsidRPr="0001134A" w:rsidRDefault="006458AB" w:rsidP="006458AB">
      <w:pPr>
        <w:spacing w:before="100" w:beforeAutospacing="1" w:after="100" w:afterAutospacing="1" w:line="240" w:lineRule="auto"/>
        <w:rPr>
          <w:rFonts w:ascii="Arial" w:eastAsia="Times New Roman" w:hAnsi="Arial" w:cs="Arial"/>
          <w:color w:val="000000"/>
          <w:sz w:val="20"/>
          <w:szCs w:val="20"/>
          <w:lang w:eastAsia="en-IN"/>
        </w:rPr>
      </w:pPr>
      <w:r w:rsidRPr="0001134A">
        <w:rPr>
          <w:rFonts w:ascii="Arial" w:eastAsia="Times New Roman" w:hAnsi="Arial" w:cs="Arial"/>
          <w:color w:val="000000"/>
          <w:sz w:val="20"/>
          <w:szCs w:val="20"/>
          <w:lang w:eastAsia="en-IN"/>
        </w:rPr>
        <w:t>3. The above exemptions are valid for deposits raised till November 04, 2022. The exemption on reserves maintenance will be available for the original deposit amounts till such time the deposits are held in the bank books.</w:t>
      </w:r>
    </w:p>
    <w:p w:rsidR="006458AB" w:rsidRPr="0001134A" w:rsidRDefault="006458AB" w:rsidP="006458AB">
      <w:pPr>
        <w:spacing w:before="100" w:beforeAutospacing="1" w:after="100" w:afterAutospacing="1" w:line="240" w:lineRule="auto"/>
        <w:rPr>
          <w:rFonts w:ascii="Arial" w:eastAsia="Times New Roman" w:hAnsi="Arial" w:cs="Arial"/>
          <w:color w:val="000000"/>
          <w:sz w:val="20"/>
          <w:szCs w:val="20"/>
          <w:lang w:eastAsia="en-IN"/>
        </w:rPr>
      </w:pPr>
      <w:r w:rsidRPr="0001134A">
        <w:rPr>
          <w:rFonts w:ascii="Arial" w:eastAsia="Times New Roman" w:hAnsi="Arial" w:cs="Arial"/>
          <w:color w:val="000000"/>
          <w:sz w:val="20"/>
          <w:szCs w:val="20"/>
          <w:lang w:eastAsia="en-IN"/>
        </w:rPr>
        <w:t>Yours faithfully</w:t>
      </w:r>
    </w:p>
    <w:p w:rsidR="006458AB" w:rsidRPr="0001134A" w:rsidRDefault="006458AB" w:rsidP="006458AB">
      <w:pPr>
        <w:spacing w:before="100" w:beforeAutospacing="1" w:after="100" w:afterAutospacing="1" w:line="240" w:lineRule="auto"/>
        <w:rPr>
          <w:rFonts w:ascii="Arial" w:eastAsia="Times New Roman" w:hAnsi="Arial" w:cs="Arial"/>
          <w:color w:val="000000"/>
          <w:sz w:val="20"/>
          <w:szCs w:val="20"/>
          <w:lang w:eastAsia="en-IN"/>
        </w:rPr>
      </w:pPr>
      <w:r w:rsidRPr="0001134A">
        <w:rPr>
          <w:rFonts w:ascii="Arial" w:eastAsia="Times New Roman" w:hAnsi="Arial" w:cs="Arial"/>
          <w:color w:val="000000"/>
          <w:sz w:val="20"/>
          <w:szCs w:val="20"/>
          <w:lang w:eastAsia="en-IN"/>
        </w:rPr>
        <w:t xml:space="preserve">(Prakash </w:t>
      </w:r>
      <w:proofErr w:type="spellStart"/>
      <w:r w:rsidRPr="0001134A">
        <w:rPr>
          <w:rFonts w:ascii="Arial" w:eastAsia="Times New Roman" w:hAnsi="Arial" w:cs="Arial"/>
          <w:color w:val="000000"/>
          <w:sz w:val="20"/>
          <w:szCs w:val="20"/>
          <w:lang w:eastAsia="en-IN"/>
        </w:rPr>
        <w:t>Baliarsingh</w:t>
      </w:r>
      <w:proofErr w:type="spellEnd"/>
      <w:r w:rsidRPr="0001134A">
        <w:rPr>
          <w:rFonts w:ascii="Arial" w:eastAsia="Times New Roman" w:hAnsi="Arial" w:cs="Arial"/>
          <w:color w:val="000000"/>
          <w:sz w:val="20"/>
          <w:szCs w:val="20"/>
          <w:lang w:eastAsia="en-IN"/>
        </w:rPr>
        <w:t>)</w:t>
      </w:r>
      <w:r w:rsidRPr="0001134A">
        <w:rPr>
          <w:rFonts w:ascii="Arial" w:eastAsia="Times New Roman" w:hAnsi="Arial" w:cs="Arial"/>
          <w:color w:val="000000"/>
          <w:sz w:val="20"/>
          <w:szCs w:val="20"/>
          <w:lang w:eastAsia="en-IN"/>
        </w:rPr>
        <w:br/>
        <w:t>Chief General Manager</w:t>
      </w:r>
    </w:p>
    <w:p w:rsidR="006458AB" w:rsidRDefault="006458AB" w:rsidP="006458AB">
      <w:pPr>
        <w:rPr>
          <w:rFonts w:ascii="Arial" w:hAnsi="Arial" w:cs="Arial"/>
          <w:sz w:val="20"/>
          <w:szCs w:val="20"/>
        </w:rPr>
      </w:pPr>
    </w:p>
    <w:p w:rsidR="006458AB" w:rsidRDefault="006458AB" w:rsidP="006458AB">
      <w:pPr>
        <w:rPr>
          <w:rFonts w:ascii="Arial" w:hAnsi="Arial" w:cs="Arial"/>
          <w:sz w:val="20"/>
          <w:szCs w:val="20"/>
        </w:rPr>
      </w:pPr>
    </w:p>
    <w:p w:rsidR="006458AB" w:rsidRDefault="006458AB" w:rsidP="006458AB">
      <w:pPr>
        <w:rPr>
          <w:rFonts w:ascii="Arial" w:hAnsi="Arial" w:cs="Arial"/>
          <w:sz w:val="20"/>
          <w:szCs w:val="20"/>
        </w:rPr>
      </w:pPr>
    </w:p>
    <w:p w:rsidR="006458AB" w:rsidRDefault="006458AB" w:rsidP="006458AB">
      <w:r>
        <w:t>More details can be referred to in the below link.</w:t>
      </w:r>
    </w:p>
    <w:p w:rsidR="006458AB" w:rsidRDefault="006458AB" w:rsidP="006458AB">
      <w:pPr>
        <w:rPr>
          <w:rFonts w:ascii="Arial" w:hAnsi="Arial" w:cs="Arial"/>
          <w:bCs/>
          <w:color w:val="000000"/>
          <w:sz w:val="20"/>
          <w:szCs w:val="20"/>
        </w:rPr>
      </w:pPr>
      <w:r>
        <w:rPr>
          <w:rFonts w:ascii="Arial" w:hAnsi="Arial" w:cs="Arial"/>
          <w:bCs/>
          <w:color w:val="000000"/>
          <w:sz w:val="20"/>
          <w:szCs w:val="20"/>
        </w:rPr>
        <w:t xml:space="preserve">Reference Link:  </w:t>
      </w:r>
      <w:hyperlink r:id="rId16" w:history="1">
        <w:r w:rsidRPr="006865D6">
          <w:rPr>
            <w:rStyle w:val="Hyperlink"/>
            <w:rFonts w:ascii="Arial" w:hAnsi="Arial" w:cs="Arial"/>
            <w:bCs/>
            <w:sz w:val="20"/>
            <w:szCs w:val="20"/>
          </w:rPr>
          <w:t>https://www.rbi.org.in/scripts/NotificationUser.aspx?Id=12351&amp;Mode=0</w:t>
        </w:r>
      </w:hyperlink>
    </w:p>
    <w:p w:rsidR="006458AB" w:rsidRDefault="006458AB" w:rsidP="008C7A02">
      <w:pPr>
        <w:jc w:val="both"/>
        <w:rPr>
          <w:rFonts w:ascii="Arial" w:hAnsi="Arial" w:cs="Arial"/>
          <w:b/>
          <w:bCs/>
          <w:color w:val="000000"/>
          <w:sz w:val="20"/>
          <w:szCs w:val="20"/>
        </w:rPr>
      </w:pPr>
    </w:p>
    <w:p w:rsidR="006458AB" w:rsidRDefault="006458AB" w:rsidP="008C7A02">
      <w:pPr>
        <w:jc w:val="both"/>
        <w:rPr>
          <w:rFonts w:ascii="Arial" w:hAnsi="Arial" w:cs="Arial"/>
          <w:b/>
          <w:bCs/>
          <w:color w:val="000000"/>
          <w:sz w:val="20"/>
          <w:szCs w:val="20"/>
        </w:rPr>
      </w:pPr>
    </w:p>
    <w:p w:rsidR="006458AB" w:rsidRDefault="006458AB" w:rsidP="008C7A02">
      <w:pPr>
        <w:jc w:val="both"/>
        <w:rPr>
          <w:rFonts w:ascii="Arial" w:hAnsi="Arial" w:cs="Arial"/>
          <w:b/>
          <w:bCs/>
          <w:color w:val="000000"/>
          <w:sz w:val="20"/>
          <w:szCs w:val="20"/>
        </w:rPr>
      </w:pPr>
    </w:p>
    <w:p w:rsidR="006458AB" w:rsidRDefault="006458AB" w:rsidP="006458AB">
      <w:pPr>
        <w:spacing w:after="0"/>
        <w:jc w:val="both"/>
        <w:rPr>
          <w:rFonts w:ascii="Arial" w:hAnsi="Arial" w:cs="Arial"/>
          <w:b/>
          <w:bCs/>
          <w:color w:val="000000"/>
          <w:sz w:val="20"/>
          <w:szCs w:val="20"/>
        </w:rPr>
      </w:pPr>
      <w:r>
        <w:rPr>
          <w:rFonts w:ascii="Arial" w:hAnsi="Arial" w:cs="Arial"/>
          <w:b/>
          <w:bCs/>
          <w:color w:val="000000"/>
          <w:sz w:val="20"/>
          <w:szCs w:val="20"/>
        </w:rPr>
        <w:lastRenderedPageBreak/>
        <w:t>Investment by Foreign Portfolio Investors (FPI) in Debt - Relaxations</w:t>
      </w:r>
    </w:p>
    <w:p w:rsidR="006458AB" w:rsidRDefault="006458AB" w:rsidP="006458AB">
      <w:pPr>
        <w:pStyle w:val="NormalWeb"/>
        <w:jc w:val="both"/>
        <w:rPr>
          <w:rFonts w:ascii="Arial" w:hAnsi="Arial" w:cs="Arial"/>
          <w:color w:val="000000"/>
          <w:sz w:val="20"/>
          <w:szCs w:val="20"/>
        </w:rPr>
      </w:pPr>
      <w:r>
        <w:rPr>
          <w:rFonts w:ascii="Arial" w:hAnsi="Arial" w:cs="Arial"/>
          <w:color w:val="000000"/>
          <w:sz w:val="20"/>
          <w:szCs w:val="20"/>
        </w:rPr>
        <w:t>RBI/2022-23/87</w:t>
      </w:r>
      <w:r>
        <w:rPr>
          <w:rFonts w:ascii="Arial" w:hAnsi="Arial" w:cs="Arial"/>
          <w:color w:val="000000"/>
          <w:sz w:val="20"/>
          <w:szCs w:val="20"/>
        </w:rPr>
        <w:br/>
        <w:t>A.P. (DIR Series) Circular No.07</w:t>
      </w:r>
    </w:p>
    <w:p w:rsidR="006458AB" w:rsidRDefault="006458AB" w:rsidP="006458AB">
      <w:pPr>
        <w:pStyle w:val="NormalWeb"/>
        <w:jc w:val="right"/>
        <w:rPr>
          <w:rFonts w:ascii="Arial" w:hAnsi="Arial" w:cs="Arial"/>
          <w:color w:val="000000"/>
          <w:sz w:val="20"/>
          <w:szCs w:val="20"/>
        </w:rPr>
      </w:pPr>
      <w:r>
        <w:rPr>
          <w:rFonts w:ascii="Arial" w:hAnsi="Arial" w:cs="Arial"/>
          <w:color w:val="000000"/>
          <w:sz w:val="20"/>
          <w:szCs w:val="20"/>
        </w:rPr>
        <w:t>July 07, 2022</w:t>
      </w:r>
    </w:p>
    <w:p w:rsidR="006458AB" w:rsidRDefault="006458AB" w:rsidP="006458AB">
      <w:pPr>
        <w:pStyle w:val="NormalWeb"/>
        <w:jc w:val="both"/>
        <w:rPr>
          <w:rFonts w:ascii="Arial" w:hAnsi="Arial" w:cs="Arial"/>
          <w:color w:val="000000"/>
          <w:sz w:val="20"/>
          <w:szCs w:val="20"/>
        </w:rPr>
      </w:pPr>
      <w:r>
        <w:rPr>
          <w:rFonts w:ascii="Arial" w:hAnsi="Arial" w:cs="Arial"/>
          <w:color w:val="000000"/>
          <w:sz w:val="20"/>
          <w:szCs w:val="20"/>
        </w:rPr>
        <w:t>To</w:t>
      </w:r>
      <w:r>
        <w:rPr>
          <w:rFonts w:ascii="Arial" w:hAnsi="Arial" w:cs="Arial"/>
          <w:color w:val="000000"/>
          <w:sz w:val="20"/>
          <w:szCs w:val="20"/>
        </w:rPr>
        <w:br/>
        <w:t>All Authorised Persons</w:t>
      </w:r>
    </w:p>
    <w:p w:rsidR="006458AB" w:rsidRDefault="006458AB" w:rsidP="006458AB">
      <w:pPr>
        <w:pStyle w:val="NormalWeb"/>
        <w:jc w:val="both"/>
        <w:rPr>
          <w:rFonts w:ascii="Arial" w:hAnsi="Arial" w:cs="Arial"/>
          <w:color w:val="000000"/>
          <w:sz w:val="20"/>
          <w:szCs w:val="20"/>
        </w:rPr>
      </w:pPr>
      <w:r>
        <w:rPr>
          <w:rFonts w:ascii="Arial" w:hAnsi="Arial" w:cs="Arial"/>
          <w:color w:val="000000"/>
          <w:sz w:val="20"/>
          <w:szCs w:val="20"/>
        </w:rPr>
        <w:t>Madam/Sir,</w:t>
      </w:r>
    </w:p>
    <w:p w:rsidR="006458AB" w:rsidRDefault="006458AB" w:rsidP="006458AB">
      <w:pPr>
        <w:pStyle w:val="head"/>
        <w:jc w:val="both"/>
        <w:rPr>
          <w:rFonts w:ascii="Arial" w:hAnsi="Arial" w:cs="Arial"/>
          <w:b/>
          <w:bCs/>
          <w:color w:val="000000"/>
          <w:sz w:val="20"/>
          <w:szCs w:val="20"/>
        </w:rPr>
      </w:pPr>
      <w:r>
        <w:rPr>
          <w:rFonts w:ascii="Arial" w:hAnsi="Arial" w:cs="Arial"/>
          <w:b/>
          <w:bCs/>
          <w:color w:val="000000"/>
          <w:sz w:val="20"/>
          <w:szCs w:val="20"/>
        </w:rPr>
        <w:t>Investment by Foreign Portfolio Investors (FPI) in Debt - Relaxations</w:t>
      </w:r>
    </w:p>
    <w:p w:rsidR="006458AB" w:rsidRDefault="006458AB" w:rsidP="006458AB">
      <w:pPr>
        <w:pStyle w:val="NormalWeb"/>
        <w:jc w:val="both"/>
        <w:rPr>
          <w:rFonts w:ascii="Arial" w:hAnsi="Arial" w:cs="Arial"/>
          <w:color w:val="000000"/>
          <w:sz w:val="20"/>
          <w:szCs w:val="20"/>
        </w:rPr>
      </w:pPr>
      <w:r>
        <w:rPr>
          <w:rFonts w:ascii="Arial" w:hAnsi="Arial" w:cs="Arial"/>
          <w:color w:val="000000"/>
          <w:sz w:val="20"/>
          <w:szCs w:val="20"/>
        </w:rPr>
        <w:t>Attention of Authorised Dealer Category-I (AD Category-I) banks is invited to the paragraph 3 of the </w:t>
      </w:r>
      <w:hyperlink r:id="rId17" w:tgtFrame="_blank" w:history="1">
        <w:r>
          <w:rPr>
            <w:rStyle w:val="Hyperlink"/>
            <w:rFonts w:ascii="Arial" w:hAnsi="Arial" w:cs="Arial"/>
            <w:sz w:val="20"/>
            <w:szCs w:val="20"/>
          </w:rPr>
          <w:t>press release on “Liberalisation of Forex Flows” dated July 06, 2022</w:t>
        </w:r>
      </w:hyperlink>
      <w:r>
        <w:rPr>
          <w:rFonts w:ascii="Arial" w:hAnsi="Arial" w:cs="Arial"/>
          <w:color w:val="000000"/>
          <w:sz w:val="20"/>
          <w:szCs w:val="20"/>
        </w:rPr>
        <w:t> regarding relaxations in the regulatory regime under the Medium-Term Framework. A reference is also invited to:</w:t>
      </w:r>
    </w:p>
    <w:p w:rsidR="006458AB" w:rsidRDefault="006458AB" w:rsidP="00DA1141">
      <w:pPr>
        <w:pStyle w:val="NormalWeb"/>
        <w:numPr>
          <w:ilvl w:val="0"/>
          <w:numId w:val="3"/>
        </w:numPr>
        <w:ind w:left="0"/>
        <w:jc w:val="both"/>
        <w:rPr>
          <w:rFonts w:ascii="Arial" w:hAnsi="Arial" w:cs="Arial"/>
          <w:color w:val="000000"/>
          <w:sz w:val="20"/>
          <w:szCs w:val="20"/>
        </w:rPr>
      </w:pPr>
      <w:r>
        <w:rPr>
          <w:rFonts w:ascii="Arial" w:hAnsi="Arial" w:cs="Arial"/>
          <w:color w:val="000000"/>
          <w:sz w:val="20"/>
          <w:szCs w:val="20"/>
        </w:rPr>
        <w:t>the Foreign Exchange Management (Debt Instruments) Regulations, 2019 notified vide </w:t>
      </w:r>
      <w:hyperlink r:id="rId18" w:tgtFrame="_blank" w:history="1">
        <w:r>
          <w:rPr>
            <w:rStyle w:val="Hyperlink"/>
            <w:rFonts w:ascii="Arial" w:hAnsi="Arial" w:cs="Arial"/>
            <w:sz w:val="20"/>
            <w:szCs w:val="20"/>
          </w:rPr>
          <w:t>Notification No. FEMA. 396/2019-RB dated October 17, 2019</w:t>
        </w:r>
      </w:hyperlink>
      <w:r>
        <w:rPr>
          <w:rFonts w:ascii="Arial" w:hAnsi="Arial" w:cs="Arial"/>
          <w:color w:val="000000"/>
          <w:sz w:val="20"/>
          <w:szCs w:val="20"/>
        </w:rPr>
        <w:t>, as amended from time to time, and the relevant directions issued thereunder; and</w:t>
      </w:r>
    </w:p>
    <w:p w:rsidR="006458AB" w:rsidRDefault="006458AB" w:rsidP="00DA1141">
      <w:pPr>
        <w:pStyle w:val="NormalWeb"/>
        <w:numPr>
          <w:ilvl w:val="0"/>
          <w:numId w:val="3"/>
        </w:numPr>
        <w:ind w:left="0"/>
        <w:jc w:val="both"/>
        <w:rPr>
          <w:rFonts w:ascii="Arial" w:hAnsi="Arial" w:cs="Arial"/>
          <w:color w:val="000000"/>
          <w:sz w:val="20"/>
          <w:szCs w:val="20"/>
        </w:rPr>
      </w:pPr>
      <w:r>
        <w:rPr>
          <w:rFonts w:ascii="Arial" w:hAnsi="Arial" w:cs="Arial"/>
          <w:color w:val="000000"/>
          <w:sz w:val="20"/>
          <w:szCs w:val="20"/>
        </w:rPr>
        <w:t>the </w:t>
      </w:r>
      <w:hyperlink r:id="rId19" w:tgtFrame="_blank" w:history="1">
        <w:r>
          <w:rPr>
            <w:rStyle w:val="Hyperlink"/>
            <w:rFonts w:ascii="Arial" w:hAnsi="Arial" w:cs="Arial"/>
            <w:sz w:val="20"/>
            <w:szCs w:val="20"/>
          </w:rPr>
          <w:t>A.P. (DIR Series) Circular No. 31 dated June 15, 2018</w:t>
        </w:r>
      </w:hyperlink>
      <w:r>
        <w:rPr>
          <w:rFonts w:ascii="Arial" w:hAnsi="Arial" w:cs="Arial"/>
          <w:color w:val="000000"/>
          <w:sz w:val="20"/>
          <w:szCs w:val="20"/>
        </w:rPr>
        <w:t> (hereinafter, Directions), as amended from time to time.</w:t>
      </w:r>
    </w:p>
    <w:p w:rsidR="006458AB" w:rsidRDefault="006458AB" w:rsidP="006458AB">
      <w:pPr>
        <w:pStyle w:val="NormalWeb"/>
        <w:jc w:val="both"/>
        <w:rPr>
          <w:rFonts w:ascii="Arial" w:hAnsi="Arial" w:cs="Arial"/>
          <w:color w:val="000000"/>
          <w:sz w:val="20"/>
          <w:szCs w:val="20"/>
        </w:rPr>
      </w:pPr>
      <w:r>
        <w:rPr>
          <w:rFonts w:ascii="Arial" w:hAnsi="Arial" w:cs="Arial"/>
          <w:color w:val="000000"/>
          <w:sz w:val="20"/>
          <w:szCs w:val="20"/>
        </w:rPr>
        <w:t>2. In terms of paragraphs 4(b)(i) and 4(b)(ii) of the Directions, short-term investments by an FPI in government securities (Central Government securities, including Treasury Bills and State Development Loans) and corporate bonds shall not exceed 30% of the total investment of that FPI in any category. It has been decided that investments by FPIs in government securities and corporate bonds made between July 08, 2022 and October 31, 2022 (both dates included) shall be exempted from the limit on short-term investments till maturity or sale of such investments.</w:t>
      </w:r>
    </w:p>
    <w:p w:rsidR="006458AB" w:rsidRDefault="006458AB" w:rsidP="006458AB">
      <w:pPr>
        <w:pStyle w:val="NormalWeb"/>
        <w:jc w:val="both"/>
        <w:rPr>
          <w:rFonts w:ascii="Arial" w:hAnsi="Arial" w:cs="Arial"/>
          <w:color w:val="000000"/>
          <w:sz w:val="20"/>
          <w:szCs w:val="20"/>
        </w:rPr>
      </w:pPr>
      <w:r>
        <w:rPr>
          <w:rFonts w:ascii="Arial" w:hAnsi="Arial" w:cs="Arial"/>
          <w:color w:val="000000"/>
          <w:sz w:val="20"/>
          <w:szCs w:val="20"/>
        </w:rPr>
        <w:t>3. In terms of paragraph 4(b)(ii) of the Directions, FPI investments in corporate bonds were subject to a minimum residual maturity requirement of one year. It has been decided to allow FPIs to invest in commercial papers and non-convertible debentures with an original maturity of up to one year, during the period between July 08, 2022 and October 31, 2022 (both dates included). These investments shall be exempted from the limit on short-term investments till maturity or sale of such investments.</w:t>
      </w:r>
    </w:p>
    <w:p w:rsidR="006458AB" w:rsidRDefault="006458AB" w:rsidP="006458AB">
      <w:pPr>
        <w:pStyle w:val="NormalWeb"/>
        <w:jc w:val="both"/>
        <w:rPr>
          <w:rFonts w:ascii="Arial" w:hAnsi="Arial" w:cs="Arial"/>
          <w:color w:val="000000"/>
          <w:sz w:val="20"/>
          <w:szCs w:val="20"/>
        </w:rPr>
      </w:pPr>
      <w:r>
        <w:rPr>
          <w:rFonts w:ascii="Arial" w:hAnsi="Arial" w:cs="Arial"/>
          <w:color w:val="000000"/>
          <w:sz w:val="20"/>
          <w:szCs w:val="20"/>
        </w:rPr>
        <w:t xml:space="preserve">4. AD Category – I </w:t>
      </w:r>
      <w:proofErr w:type="gramStart"/>
      <w:r>
        <w:rPr>
          <w:rFonts w:ascii="Arial" w:hAnsi="Arial" w:cs="Arial"/>
          <w:color w:val="000000"/>
          <w:sz w:val="20"/>
          <w:szCs w:val="20"/>
        </w:rPr>
        <w:t>banks</w:t>
      </w:r>
      <w:proofErr w:type="gramEnd"/>
      <w:r>
        <w:rPr>
          <w:rFonts w:ascii="Arial" w:hAnsi="Arial" w:cs="Arial"/>
          <w:color w:val="000000"/>
          <w:sz w:val="20"/>
          <w:szCs w:val="20"/>
        </w:rPr>
        <w:t xml:space="preserve"> may bring the contents of this circular to the notice of their constituents and customers concerned.</w:t>
      </w:r>
    </w:p>
    <w:p w:rsidR="006458AB" w:rsidRDefault="006458AB" w:rsidP="006458AB">
      <w:pPr>
        <w:pStyle w:val="NormalWeb"/>
        <w:jc w:val="both"/>
        <w:rPr>
          <w:rFonts w:ascii="Arial" w:hAnsi="Arial" w:cs="Arial"/>
          <w:color w:val="000000"/>
          <w:sz w:val="20"/>
          <w:szCs w:val="20"/>
        </w:rPr>
      </w:pPr>
      <w:r>
        <w:rPr>
          <w:rFonts w:ascii="Arial" w:hAnsi="Arial" w:cs="Arial"/>
          <w:color w:val="000000"/>
          <w:sz w:val="20"/>
          <w:szCs w:val="20"/>
        </w:rPr>
        <w:t>5. The Directions contained in this circular have been issued under sections 10(4) and 11(1) of the Foreign Exchange Management Act, 1999 (42 of 1999) and are without prejudice to permissions/approval, if any, required under any other law.</w:t>
      </w:r>
    </w:p>
    <w:p w:rsidR="006458AB" w:rsidRPr="002C55B6" w:rsidRDefault="006458AB" w:rsidP="006458AB">
      <w:pPr>
        <w:pStyle w:val="NormalWeb"/>
        <w:jc w:val="both"/>
        <w:rPr>
          <w:rFonts w:ascii="Arial" w:hAnsi="Arial" w:cs="Arial"/>
          <w:color w:val="000000"/>
          <w:sz w:val="20"/>
          <w:szCs w:val="20"/>
        </w:rPr>
      </w:pPr>
      <w:r>
        <w:rPr>
          <w:rFonts w:ascii="Arial" w:hAnsi="Arial" w:cs="Arial"/>
          <w:color w:val="000000"/>
          <w:sz w:val="20"/>
          <w:szCs w:val="20"/>
        </w:rPr>
        <w:t>6. These Directions shall be applicable with immediate effect.</w:t>
      </w:r>
    </w:p>
    <w:p w:rsidR="006458AB" w:rsidRPr="00FB49BF" w:rsidRDefault="006458AB" w:rsidP="006458AB">
      <w:pPr>
        <w:spacing w:after="0"/>
        <w:rPr>
          <w:rFonts w:ascii="Arial" w:hAnsi="Arial" w:cs="Arial"/>
          <w:sz w:val="20"/>
          <w:szCs w:val="20"/>
        </w:rPr>
      </w:pPr>
      <w:r w:rsidRPr="00FB49BF">
        <w:rPr>
          <w:rFonts w:ascii="Arial" w:hAnsi="Arial" w:cs="Arial"/>
          <w:sz w:val="20"/>
          <w:szCs w:val="20"/>
        </w:rPr>
        <w:t>Yours faithfully,</w:t>
      </w:r>
    </w:p>
    <w:p w:rsidR="006458AB" w:rsidRPr="00FB49BF" w:rsidRDefault="006458AB" w:rsidP="006458AB">
      <w:pPr>
        <w:spacing w:after="0"/>
        <w:rPr>
          <w:rFonts w:ascii="Arial" w:hAnsi="Arial" w:cs="Arial"/>
          <w:sz w:val="20"/>
          <w:szCs w:val="20"/>
        </w:rPr>
      </w:pPr>
      <w:r w:rsidRPr="00FB49BF">
        <w:rPr>
          <w:rFonts w:ascii="Arial" w:hAnsi="Arial" w:cs="Arial"/>
          <w:sz w:val="20"/>
          <w:szCs w:val="20"/>
        </w:rPr>
        <w:t xml:space="preserve">(Dimple </w:t>
      </w:r>
      <w:proofErr w:type="spellStart"/>
      <w:r w:rsidRPr="00FB49BF">
        <w:rPr>
          <w:rFonts w:ascii="Arial" w:hAnsi="Arial" w:cs="Arial"/>
          <w:sz w:val="20"/>
          <w:szCs w:val="20"/>
        </w:rPr>
        <w:t>Bhandia</w:t>
      </w:r>
      <w:proofErr w:type="spellEnd"/>
      <w:r w:rsidRPr="00FB49BF">
        <w:rPr>
          <w:rFonts w:ascii="Arial" w:hAnsi="Arial" w:cs="Arial"/>
          <w:sz w:val="20"/>
          <w:szCs w:val="20"/>
        </w:rPr>
        <w:t>)</w:t>
      </w:r>
    </w:p>
    <w:p w:rsidR="006458AB" w:rsidRPr="00FB49BF" w:rsidRDefault="006458AB" w:rsidP="006458AB">
      <w:pPr>
        <w:spacing w:after="0"/>
        <w:rPr>
          <w:rFonts w:ascii="Arial" w:hAnsi="Arial" w:cs="Arial"/>
          <w:sz w:val="20"/>
          <w:szCs w:val="20"/>
        </w:rPr>
      </w:pPr>
      <w:r w:rsidRPr="00FB49BF">
        <w:rPr>
          <w:rFonts w:ascii="Arial" w:hAnsi="Arial" w:cs="Arial"/>
          <w:sz w:val="20"/>
          <w:szCs w:val="20"/>
        </w:rPr>
        <w:t>Chief General Manager</w:t>
      </w:r>
    </w:p>
    <w:p w:rsidR="006458AB" w:rsidRDefault="006458AB" w:rsidP="006458AB"/>
    <w:p w:rsidR="006458AB" w:rsidRDefault="006458AB" w:rsidP="006458AB">
      <w:r>
        <w:t>More details can be referred to in the below link.</w:t>
      </w:r>
    </w:p>
    <w:p w:rsidR="006458AB" w:rsidRDefault="006458AB" w:rsidP="006458AB">
      <w:pPr>
        <w:jc w:val="both"/>
        <w:rPr>
          <w:rStyle w:val="Hyperlink"/>
          <w:rFonts w:ascii="Arial" w:hAnsi="Arial" w:cs="Arial"/>
          <w:bCs/>
          <w:sz w:val="20"/>
          <w:szCs w:val="20"/>
        </w:rPr>
      </w:pPr>
      <w:r>
        <w:rPr>
          <w:rFonts w:ascii="Arial" w:hAnsi="Arial" w:cs="Arial"/>
          <w:bCs/>
          <w:color w:val="000000"/>
          <w:sz w:val="20"/>
          <w:szCs w:val="20"/>
        </w:rPr>
        <w:t xml:space="preserve">Reference Link </w:t>
      </w:r>
      <w:hyperlink r:id="rId20" w:history="1">
        <w:r w:rsidRPr="00200311">
          <w:rPr>
            <w:rStyle w:val="Hyperlink"/>
            <w:rFonts w:ascii="Arial" w:hAnsi="Arial" w:cs="Arial"/>
            <w:bCs/>
            <w:sz w:val="20"/>
            <w:szCs w:val="20"/>
          </w:rPr>
          <w:t>https://rbi.org.in/scripts/FS_Notification.aspx?Id=12355&amp;fn=6&amp;Mode=0</w:t>
        </w:r>
      </w:hyperlink>
    </w:p>
    <w:p w:rsidR="006458AB" w:rsidRDefault="006458AB" w:rsidP="006458AB">
      <w:pPr>
        <w:jc w:val="both"/>
        <w:rPr>
          <w:rStyle w:val="Hyperlink"/>
          <w:rFonts w:ascii="Arial" w:hAnsi="Arial" w:cs="Arial"/>
          <w:bCs/>
          <w:sz w:val="20"/>
          <w:szCs w:val="20"/>
        </w:rPr>
      </w:pPr>
    </w:p>
    <w:p w:rsidR="006458AB" w:rsidRDefault="006458AB" w:rsidP="006458AB">
      <w:pPr>
        <w:jc w:val="both"/>
        <w:rPr>
          <w:rStyle w:val="Hyperlink"/>
          <w:rFonts w:ascii="Arial" w:hAnsi="Arial" w:cs="Arial"/>
          <w:bCs/>
          <w:sz w:val="20"/>
          <w:szCs w:val="20"/>
        </w:rPr>
      </w:pPr>
    </w:p>
    <w:p w:rsidR="00BA0C06" w:rsidRDefault="00BA0C06" w:rsidP="00BA0C06">
      <w:pPr>
        <w:spacing w:after="0"/>
        <w:jc w:val="both"/>
        <w:rPr>
          <w:rFonts w:ascii="Arial" w:hAnsi="Arial" w:cs="Arial"/>
          <w:b/>
          <w:bCs/>
          <w:color w:val="000000"/>
          <w:sz w:val="20"/>
          <w:szCs w:val="20"/>
        </w:rPr>
      </w:pPr>
      <w:r>
        <w:rPr>
          <w:rFonts w:ascii="Arial" w:hAnsi="Arial" w:cs="Arial"/>
          <w:b/>
          <w:bCs/>
          <w:color w:val="000000"/>
          <w:sz w:val="20"/>
          <w:szCs w:val="20"/>
        </w:rPr>
        <w:lastRenderedPageBreak/>
        <w:t>Overseas foreign currency borrowings of Authorised Dealer Category-I banks</w:t>
      </w:r>
    </w:p>
    <w:p w:rsidR="00BA0C06" w:rsidRDefault="00BA0C06" w:rsidP="00BA0C06">
      <w:pPr>
        <w:spacing w:after="0"/>
        <w:jc w:val="both"/>
        <w:rPr>
          <w:rFonts w:ascii="Arial" w:hAnsi="Arial" w:cs="Arial"/>
          <w:b/>
          <w:bCs/>
          <w:color w:val="000000"/>
          <w:sz w:val="20"/>
          <w:szCs w:val="20"/>
        </w:rPr>
      </w:pPr>
    </w:p>
    <w:p w:rsidR="00BA0C06" w:rsidRDefault="00BA0C06" w:rsidP="00BA0C06">
      <w:pPr>
        <w:pStyle w:val="NormalWeb"/>
        <w:jc w:val="both"/>
        <w:rPr>
          <w:rFonts w:ascii="Arial" w:hAnsi="Arial" w:cs="Arial"/>
          <w:color w:val="000000"/>
          <w:sz w:val="20"/>
          <w:szCs w:val="20"/>
        </w:rPr>
      </w:pPr>
      <w:r>
        <w:rPr>
          <w:rFonts w:ascii="Arial" w:hAnsi="Arial" w:cs="Arial"/>
          <w:color w:val="000000"/>
          <w:sz w:val="20"/>
          <w:szCs w:val="20"/>
        </w:rPr>
        <w:t>RBI/2022-23/88</w:t>
      </w:r>
      <w:r>
        <w:rPr>
          <w:rFonts w:ascii="Arial" w:hAnsi="Arial" w:cs="Arial"/>
          <w:color w:val="000000"/>
          <w:sz w:val="20"/>
          <w:szCs w:val="20"/>
        </w:rPr>
        <w:br/>
        <w:t>A. P. (DIR Series) Circular No. 08</w:t>
      </w:r>
    </w:p>
    <w:p w:rsidR="00BA0C06" w:rsidRDefault="00BA0C06" w:rsidP="00BA0C06">
      <w:pPr>
        <w:pStyle w:val="NormalWeb"/>
        <w:jc w:val="right"/>
        <w:rPr>
          <w:rFonts w:ascii="Arial" w:hAnsi="Arial" w:cs="Arial"/>
          <w:color w:val="000000"/>
          <w:sz w:val="20"/>
          <w:szCs w:val="20"/>
        </w:rPr>
      </w:pPr>
      <w:r>
        <w:rPr>
          <w:rFonts w:ascii="Arial" w:hAnsi="Arial" w:cs="Arial"/>
          <w:color w:val="000000"/>
          <w:sz w:val="20"/>
          <w:szCs w:val="20"/>
        </w:rPr>
        <w:t>July 07, 2022</w:t>
      </w:r>
    </w:p>
    <w:p w:rsidR="00BA0C06" w:rsidRDefault="00BA0C06" w:rsidP="00BA0C06">
      <w:pPr>
        <w:pStyle w:val="NormalWeb"/>
        <w:jc w:val="both"/>
        <w:rPr>
          <w:rFonts w:ascii="Arial" w:hAnsi="Arial" w:cs="Arial"/>
          <w:color w:val="000000"/>
          <w:sz w:val="20"/>
          <w:szCs w:val="20"/>
        </w:rPr>
      </w:pPr>
      <w:r>
        <w:rPr>
          <w:rFonts w:ascii="Arial" w:hAnsi="Arial" w:cs="Arial"/>
          <w:color w:val="000000"/>
          <w:sz w:val="20"/>
          <w:szCs w:val="20"/>
        </w:rPr>
        <w:t>All Authorised Dealer Category-I Banks</w:t>
      </w:r>
    </w:p>
    <w:p w:rsidR="00BA0C06" w:rsidRDefault="00BA0C06" w:rsidP="00BA0C06">
      <w:pPr>
        <w:pStyle w:val="NormalWeb"/>
        <w:jc w:val="both"/>
        <w:rPr>
          <w:rFonts w:ascii="Arial" w:hAnsi="Arial" w:cs="Arial"/>
          <w:color w:val="000000"/>
          <w:sz w:val="20"/>
          <w:szCs w:val="20"/>
        </w:rPr>
      </w:pPr>
      <w:r>
        <w:rPr>
          <w:rFonts w:ascii="Arial" w:hAnsi="Arial" w:cs="Arial"/>
          <w:color w:val="000000"/>
          <w:sz w:val="20"/>
          <w:szCs w:val="20"/>
        </w:rPr>
        <w:t>Madam/Sir,</w:t>
      </w:r>
    </w:p>
    <w:p w:rsidR="00BA0C06" w:rsidRDefault="00BA0C06" w:rsidP="00BA0C06">
      <w:pPr>
        <w:pStyle w:val="head"/>
        <w:jc w:val="both"/>
        <w:rPr>
          <w:rFonts w:ascii="Arial" w:hAnsi="Arial" w:cs="Arial"/>
          <w:b/>
          <w:bCs/>
          <w:color w:val="000000"/>
          <w:sz w:val="20"/>
          <w:szCs w:val="20"/>
        </w:rPr>
      </w:pPr>
      <w:r>
        <w:rPr>
          <w:rFonts w:ascii="Arial" w:hAnsi="Arial" w:cs="Arial"/>
          <w:b/>
          <w:bCs/>
          <w:color w:val="000000"/>
          <w:sz w:val="20"/>
          <w:szCs w:val="20"/>
        </w:rPr>
        <w:t>Overseas foreign currency borrowings of Authorised Dealer Category-I banks</w:t>
      </w:r>
    </w:p>
    <w:p w:rsidR="00BA0C06" w:rsidRDefault="00BA0C06" w:rsidP="00BA0C06">
      <w:pPr>
        <w:pStyle w:val="NormalWeb"/>
        <w:jc w:val="both"/>
        <w:rPr>
          <w:rFonts w:ascii="Arial" w:hAnsi="Arial" w:cs="Arial"/>
          <w:color w:val="000000"/>
          <w:sz w:val="20"/>
          <w:szCs w:val="20"/>
        </w:rPr>
      </w:pPr>
      <w:r>
        <w:rPr>
          <w:rFonts w:ascii="Arial" w:hAnsi="Arial" w:cs="Arial"/>
          <w:color w:val="000000"/>
          <w:sz w:val="20"/>
          <w:szCs w:val="20"/>
        </w:rPr>
        <w:t>Attention of Authorised Dealer Category-I (AD Cat-I) banks is invited to the Foreign Exchange Management (Borrowing and Lending) Regulations, 2018 [</w:t>
      </w:r>
      <w:hyperlink r:id="rId21" w:tgtFrame="_blank" w:history="1">
        <w:r>
          <w:rPr>
            <w:rStyle w:val="Hyperlink"/>
            <w:rFonts w:ascii="Arial" w:hAnsi="Arial" w:cs="Arial"/>
            <w:sz w:val="20"/>
            <w:szCs w:val="20"/>
          </w:rPr>
          <w:t>Notification no. FEMA 3(R)/2018-RB dated December 17, 2018</w:t>
        </w:r>
      </w:hyperlink>
      <w:r>
        <w:rPr>
          <w:rFonts w:ascii="Arial" w:hAnsi="Arial" w:cs="Arial"/>
          <w:color w:val="000000"/>
          <w:sz w:val="20"/>
          <w:szCs w:val="20"/>
        </w:rPr>
        <w:t>] and </w:t>
      </w:r>
      <w:hyperlink r:id="rId22" w:tgtFrame="_blank" w:history="1">
        <w:r>
          <w:rPr>
            <w:rStyle w:val="Hyperlink"/>
            <w:rFonts w:ascii="Arial" w:hAnsi="Arial" w:cs="Arial"/>
            <w:sz w:val="20"/>
            <w:szCs w:val="20"/>
          </w:rPr>
          <w:t>Master Direction - Risk Management and Inter-Bank Dealings dated July 05, 2016</w:t>
        </w:r>
      </w:hyperlink>
      <w:r>
        <w:rPr>
          <w:rFonts w:ascii="Arial" w:hAnsi="Arial" w:cs="Arial"/>
          <w:color w:val="000000"/>
          <w:sz w:val="20"/>
          <w:szCs w:val="20"/>
        </w:rPr>
        <w:t>, as amended from time to time.</w:t>
      </w:r>
    </w:p>
    <w:p w:rsidR="00BA0C06" w:rsidRDefault="00BA0C06" w:rsidP="00BA0C06">
      <w:pPr>
        <w:pStyle w:val="NormalWeb"/>
        <w:jc w:val="both"/>
        <w:rPr>
          <w:rFonts w:ascii="Arial" w:hAnsi="Arial" w:cs="Arial"/>
          <w:color w:val="000000"/>
          <w:sz w:val="20"/>
          <w:szCs w:val="20"/>
        </w:rPr>
      </w:pPr>
      <w:r>
        <w:rPr>
          <w:rFonts w:ascii="Arial" w:hAnsi="Arial" w:cs="Arial"/>
          <w:color w:val="000000"/>
          <w:sz w:val="20"/>
          <w:szCs w:val="20"/>
        </w:rPr>
        <w:t>2. As announced in paragraph 4 of the </w:t>
      </w:r>
      <w:hyperlink r:id="rId23" w:tgtFrame="_blank" w:history="1">
        <w:r>
          <w:rPr>
            <w:rStyle w:val="Hyperlink"/>
            <w:rFonts w:ascii="Arial" w:hAnsi="Arial" w:cs="Arial"/>
            <w:sz w:val="20"/>
            <w:szCs w:val="20"/>
          </w:rPr>
          <w:t>press release on “Liberalisation of Forex Flows” dated July 06, 2022</w:t>
        </w:r>
      </w:hyperlink>
      <w:r>
        <w:rPr>
          <w:rFonts w:ascii="Arial" w:hAnsi="Arial" w:cs="Arial"/>
          <w:color w:val="000000"/>
          <w:sz w:val="20"/>
          <w:szCs w:val="20"/>
        </w:rPr>
        <w:t>, AD Cat-I banks can utilise the funds raised from overseas foreign currency borrowings between July 08, 2022 and October 31, 2022 (both dates included) in terms of paragraph Part-C(5)(a) of the </w:t>
      </w:r>
      <w:hyperlink r:id="rId24" w:tgtFrame="_blank" w:history="1">
        <w:r>
          <w:rPr>
            <w:rStyle w:val="Hyperlink"/>
            <w:rFonts w:ascii="Arial" w:hAnsi="Arial" w:cs="Arial"/>
            <w:sz w:val="20"/>
            <w:szCs w:val="20"/>
          </w:rPr>
          <w:t>Master Direction - Risk Management and Inter-Bank Dealings dated July 05, 2016</w:t>
        </w:r>
      </w:hyperlink>
      <w:r>
        <w:rPr>
          <w:rFonts w:ascii="Arial" w:hAnsi="Arial" w:cs="Arial"/>
          <w:color w:val="000000"/>
          <w:sz w:val="20"/>
          <w:szCs w:val="20"/>
        </w:rPr>
        <w:t>, as amended from time to time, for lending in foreign currency to constituents in India. Such lending shall be subject to the end-use prescriptions as applicable to External Commercial Borrowings (ECBs) in terms of paragraph 2.1(viii) of the </w:t>
      </w:r>
      <w:hyperlink r:id="rId25" w:tgtFrame="_blank" w:history="1">
        <w:r>
          <w:rPr>
            <w:rStyle w:val="Hyperlink"/>
            <w:rFonts w:ascii="Arial" w:hAnsi="Arial" w:cs="Arial"/>
            <w:sz w:val="20"/>
            <w:szCs w:val="20"/>
          </w:rPr>
          <w:t>Master Direction - External Commercial Borrowings, Trade Credits and Structured Obligations dated March 26, 2019</w:t>
        </w:r>
      </w:hyperlink>
      <w:r>
        <w:rPr>
          <w:rFonts w:ascii="Arial" w:hAnsi="Arial" w:cs="Arial"/>
          <w:color w:val="000000"/>
          <w:sz w:val="20"/>
          <w:szCs w:val="20"/>
        </w:rPr>
        <w:t>, as amended from time to time. This facility will be available till the maturity / repayment of the overseas foreign currency borrowings.</w:t>
      </w:r>
    </w:p>
    <w:p w:rsidR="00BA0C06" w:rsidRDefault="00BA0C06" w:rsidP="00BA0C06">
      <w:pPr>
        <w:pStyle w:val="NormalWeb"/>
        <w:jc w:val="both"/>
        <w:rPr>
          <w:rFonts w:ascii="Arial" w:hAnsi="Arial" w:cs="Arial"/>
          <w:color w:val="000000"/>
          <w:sz w:val="20"/>
          <w:szCs w:val="20"/>
        </w:rPr>
      </w:pPr>
      <w:r>
        <w:rPr>
          <w:rFonts w:ascii="Arial" w:hAnsi="Arial" w:cs="Arial"/>
          <w:color w:val="000000"/>
          <w:sz w:val="20"/>
          <w:szCs w:val="20"/>
        </w:rPr>
        <w:t>3. The directions contained in this circular have been issued under Sections 10(4) and 11(1) of the Foreign Exchange Management Act, 1999 (42 of 1999) and are without prejudice to permissions / approvals, if any, required under any other law.</w:t>
      </w:r>
    </w:p>
    <w:p w:rsidR="00BA0C06" w:rsidRDefault="00BA0C06" w:rsidP="00BA0C06">
      <w:pPr>
        <w:pStyle w:val="NormalWeb"/>
        <w:spacing w:before="0" w:beforeAutospacing="0" w:after="0" w:afterAutospacing="0"/>
        <w:rPr>
          <w:rFonts w:ascii="Arial" w:hAnsi="Arial" w:cs="Arial"/>
          <w:color w:val="000000"/>
          <w:sz w:val="20"/>
          <w:szCs w:val="20"/>
        </w:rPr>
      </w:pPr>
      <w:r>
        <w:rPr>
          <w:rFonts w:ascii="Arial" w:hAnsi="Arial" w:cs="Arial"/>
          <w:color w:val="000000"/>
          <w:sz w:val="20"/>
          <w:szCs w:val="20"/>
        </w:rPr>
        <w:t>Yours faithfully,</w:t>
      </w:r>
    </w:p>
    <w:p w:rsidR="00BA0C06" w:rsidRPr="001B0D06" w:rsidRDefault="00BA0C06" w:rsidP="00BA0C06">
      <w:pPr>
        <w:pStyle w:val="NormalWeb"/>
        <w:spacing w:before="0" w:beforeAutospacing="0" w:after="0" w:afterAutospacing="0"/>
        <w:rPr>
          <w:rFonts w:ascii="Arial" w:hAnsi="Arial" w:cs="Arial"/>
          <w:color w:val="000000"/>
          <w:sz w:val="20"/>
          <w:szCs w:val="20"/>
        </w:rPr>
      </w:pPr>
      <w:r>
        <w:rPr>
          <w:rFonts w:ascii="Arial" w:hAnsi="Arial" w:cs="Arial"/>
          <w:color w:val="000000"/>
          <w:sz w:val="20"/>
          <w:szCs w:val="20"/>
        </w:rPr>
        <w:t xml:space="preserve">(Dimple </w:t>
      </w:r>
      <w:proofErr w:type="spellStart"/>
      <w:r>
        <w:rPr>
          <w:rFonts w:ascii="Arial" w:hAnsi="Arial" w:cs="Arial"/>
          <w:color w:val="000000"/>
          <w:sz w:val="20"/>
          <w:szCs w:val="20"/>
        </w:rPr>
        <w:t>Bhandia</w:t>
      </w:r>
      <w:proofErr w:type="spellEnd"/>
      <w:r>
        <w:rPr>
          <w:rFonts w:ascii="Arial" w:hAnsi="Arial" w:cs="Arial"/>
          <w:color w:val="000000"/>
          <w:sz w:val="20"/>
          <w:szCs w:val="20"/>
        </w:rPr>
        <w:t>)</w:t>
      </w:r>
      <w:r>
        <w:rPr>
          <w:rFonts w:ascii="Arial" w:hAnsi="Arial" w:cs="Arial"/>
          <w:color w:val="000000"/>
          <w:sz w:val="20"/>
          <w:szCs w:val="20"/>
        </w:rPr>
        <w:br/>
        <w:t>Chief General Manager</w:t>
      </w:r>
    </w:p>
    <w:p w:rsidR="00BA0C06" w:rsidRDefault="00BA0C06" w:rsidP="00BA0C06"/>
    <w:p w:rsidR="00BA0C06" w:rsidRDefault="00BA0C06" w:rsidP="00BA0C06"/>
    <w:p w:rsidR="00BA0C06" w:rsidRDefault="00BA0C06" w:rsidP="00BA0C06">
      <w:r>
        <w:t>More details can be referred to in the below link.</w:t>
      </w:r>
    </w:p>
    <w:p w:rsidR="00BA0C06" w:rsidRDefault="00BA0C06" w:rsidP="00BA0C06">
      <w:pPr>
        <w:spacing w:after="0"/>
        <w:jc w:val="both"/>
        <w:rPr>
          <w:rFonts w:ascii="Arial" w:hAnsi="Arial" w:cs="Arial"/>
          <w:sz w:val="20"/>
          <w:szCs w:val="20"/>
        </w:rPr>
      </w:pPr>
    </w:p>
    <w:p w:rsidR="00BA0C06" w:rsidRDefault="00BA0C06" w:rsidP="00BA0C06">
      <w:pPr>
        <w:spacing w:after="0"/>
        <w:jc w:val="both"/>
        <w:rPr>
          <w:rFonts w:ascii="Arial" w:hAnsi="Arial" w:cs="Arial"/>
          <w:sz w:val="20"/>
          <w:szCs w:val="20"/>
        </w:rPr>
      </w:pPr>
      <w:r>
        <w:rPr>
          <w:rFonts w:ascii="Arial" w:hAnsi="Arial" w:cs="Arial"/>
          <w:sz w:val="20"/>
          <w:szCs w:val="20"/>
        </w:rPr>
        <w:t>Reference Link:</w:t>
      </w:r>
      <w:r w:rsidRPr="00121B22">
        <w:t xml:space="preserve"> </w:t>
      </w:r>
      <w:hyperlink r:id="rId26" w:history="1">
        <w:r w:rsidRPr="00200311">
          <w:rPr>
            <w:rStyle w:val="Hyperlink"/>
            <w:rFonts w:ascii="Arial" w:hAnsi="Arial" w:cs="Arial"/>
            <w:sz w:val="20"/>
            <w:szCs w:val="20"/>
          </w:rPr>
          <w:t>https://www.rbi.org.in/scripts/NotificationUser.aspx?Id=12356&amp;Mode=0</w:t>
        </w:r>
      </w:hyperlink>
    </w:p>
    <w:p w:rsidR="00BA0C06" w:rsidRDefault="00BA0C06" w:rsidP="00BA0C06">
      <w:pPr>
        <w:spacing w:after="0"/>
        <w:jc w:val="both"/>
        <w:rPr>
          <w:rFonts w:ascii="Arial" w:hAnsi="Arial" w:cs="Arial"/>
          <w:sz w:val="20"/>
          <w:szCs w:val="20"/>
        </w:rPr>
      </w:pPr>
    </w:p>
    <w:p w:rsidR="00BA0C06" w:rsidRDefault="00BA0C06" w:rsidP="00BA0C06">
      <w:pPr>
        <w:spacing w:after="0"/>
        <w:jc w:val="both"/>
        <w:rPr>
          <w:rFonts w:ascii="Arial" w:hAnsi="Arial" w:cs="Arial"/>
          <w:sz w:val="20"/>
          <w:szCs w:val="20"/>
        </w:rPr>
      </w:pPr>
    </w:p>
    <w:p w:rsidR="00BA0C06" w:rsidRDefault="00BA0C06" w:rsidP="00BA0C06">
      <w:pPr>
        <w:spacing w:after="0"/>
        <w:jc w:val="both"/>
        <w:rPr>
          <w:rFonts w:ascii="Arial" w:hAnsi="Arial" w:cs="Arial"/>
          <w:sz w:val="20"/>
          <w:szCs w:val="20"/>
        </w:rPr>
      </w:pPr>
    </w:p>
    <w:p w:rsidR="00BA0C06" w:rsidRDefault="00BA0C06" w:rsidP="00BA0C06">
      <w:pPr>
        <w:spacing w:after="0"/>
        <w:jc w:val="both"/>
        <w:rPr>
          <w:rFonts w:ascii="Arial" w:hAnsi="Arial" w:cs="Arial"/>
          <w:sz w:val="20"/>
          <w:szCs w:val="20"/>
        </w:rPr>
      </w:pPr>
    </w:p>
    <w:p w:rsidR="00BA0C06" w:rsidRDefault="00BA0C06" w:rsidP="00BA0C06">
      <w:pPr>
        <w:rPr>
          <w:rFonts w:ascii="Arial" w:hAnsi="Arial" w:cs="Arial"/>
          <w:b/>
          <w:bCs/>
          <w:color w:val="000000"/>
          <w:sz w:val="20"/>
          <w:szCs w:val="20"/>
        </w:rPr>
      </w:pPr>
      <w:r>
        <w:br w:type="page"/>
      </w:r>
      <w:r>
        <w:rPr>
          <w:rFonts w:ascii="Arial" w:hAnsi="Arial" w:cs="Arial"/>
          <w:b/>
          <w:bCs/>
          <w:color w:val="000000"/>
          <w:sz w:val="20"/>
          <w:szCs w:val="20"/>
        </w:rPr>
        <w:lastRenderedPageBreak/>
        <w:t>International Trade Settlement in Indian Rupees (INR)</w:t>
      </w:r>
    </w:p>
    <w:p w:rsidR="00BA0C06" w:rsidRPr="001E7AD4" w:rsidRDefault="00BA0C06" w:rsidP="00BA0C06">
      <w:pPr>
        <w:spacing w:before="100" w:beforeAutospacing="1" w:after="100" w:afterAutospacing="1" w:line="240" w:lineRule="auto"/>
        <w:jc w:val="both"/>
        <w:rPr>
          <w:rFonts w:ascii="Arial" w:eastAsia="Times New Roman" w:hAnsi="Arial" w:cs="Arial"/>
          <w:color w:val="000000"/>
          <w:sz w:val="20"/>
          <w:szCs w:val="20"/>
          <w:lang w:eastAsia="en-IN"/>
        </w:rPr>
      </w:pPr>
      <w:r w:rsidRPr="001E7AD4">
        <w:rPr>
          <w:rFonts w:ascii="Arial" w:eastAsia="Times New Roman" w:hAnsi="Arial" w:cs="Arial"/>
          <w:color w:val="000000"/>
          <w:sz w:val="20"/>
          <w:szCs w:val="20"/>
          <w:lang w:eastAsia="en-IN"/>
        </w:rPr>
        <w:t>RBI/2022-2023/90</w:t>
      </w:r>
      <w:r w:rsidRPr="001E7AD4">
        <w:rPr>
          <w:rFonts w:ascii="Arial" w:eastAsia="Times New Roman" w:hAnsi="Arial" w:cs="Arial"/>
          <w:color w:val="000000"/>
          <w:sz w:val="20"/>
          <w:szCs w:val="20"/>
          <w:lang w:eastAsia="en-IN"/>
        </w:rPr>
        <w:br/>
        <w:t>A.P. (DIR Series) Circular No.10</w:t>
      </w:r>
    </w:p>
    <w:p w:rsidR="00BA0C06" w:rsidRPr="001E7AD4" w:rsidRDefault="00BA0C06" w:rsidP="00BA0C06">
      <w:pPr>
        <w:spacing w:before="100" w:beforeAutospacing="1" w:after="100" w:afterAutospacing="1" w:line="240" w:lineRule="auto"/>
        <w:jc w:val="right"/>
        <w:rPr>
          <w:rFonts w:ascii="Arial" w:eastAsia="Times New Roman" w:hAnsi="Arial" w:cs="Arial"/>
          <w:color w:val="000000"/>
          <w:sz w:val="20"/>
          <w:szCs w:val="20"/>
          <w:lang w:eastAsia="en-IN"/>
        </w:rPr>
      </w:pPr>
      <w:r w:rsidRPr="001E7AD4">
        <w:rPr>
          <w:rFonts w:ascii="Arial" w:eastAsia="Times New Roman" w:hAnsi="Arial" w:cs="Arial"/>
          <w:color w:val="000000"/>
          <w:sz w:val="20"/>
          <w:szCs w:val="20"/>
          <w:lang w:eastAsia="en-IN"/>
        </w:rPr>
        <w:t>July 11, 2022</w:t>
      </w:r>
    </w:p>
    <w:p w:rsidR="00BA0C06" w:rsidRDefault="00BA0C06" w:rsidP="00BA0C06">
      <w:pPr>
        <w:pStyle w:val="NoSpacing"/>
        <w:rPr>
          <w:lang w:eastAsia="en-IN"/>
        </w:rPr>
      </w:pPr>
      <w:r w:rsidRPr="001E7AD4">
        <w:rPr>
          <w:lang w:eastAsia="en-IN"/>
        </w:rPr>
        <w:t>To</w:t>
      </w:r>
    </w:p>
    <w:p w:rsidR="00BA0C06" w:rsidRPr="001E7AD4" w:rsidRDefault="00BA0C06" w:rsidP="00BA0C06">
      <w:pPr>
        <w:pStyle w:val="NoSpacing"/>
        <w:rPr>
          <w:lang w:eastAsia="en-IN"/>
        </w:rPr>
      </w:pPr>
      <w:r w:rsidRPr="001E7AD4">
        <w:rPr>
          <w:lang w:eastAsia="en-IN"/>
        </w:rPr>
        <w:t>All Category-I Authorised Dealer Banks</w:t>
      </w:r>
    </w:p>
    <w:p w:rsidR="00BA0C06" w:rsidRPr="001E7AD4" w:rsidRDefault="00BA0C06" w:rsidP="00BA0C06">
      <w:pPr>
        <w:pStyle w:val="NoSpacing"/>
        <w:rPr>
          <w:lang w:eastAsia="en-IN"/>
        </w:rPr>
      </w:pPr>
      <w:r w:rsidRPr="001E7AD4">
        <w:rPr>
          <w:lang w:eastAsia="en-IN"/>
        </w:rPr>
        <w:t>Madam/Sir</w:t>
      </w:r>
    </w:p>
    <w:p w:rsidR="00BA0C06" w:rsidRPr="001E7AD4" w:rsidRDefault="00BA0C06" w:rsidP="00BA0C06">
      <w:pPr>
        <w:spacing w:before="100" w:beforeAutospacing="1" w:after="100" w:afterAutospacing="1" w:line="240" w:lineRule="auto"/>
        <w:jc w:val="both"/>
        <w:rPr>
          <w:rFonts w:ascii="Arial" w:eastAsia="Times New Roman" w:hAnsi="Arial" w:cs="Arial"/>
          <w:b/>
          <w:bCs/>
          <w:color w:val="000000"/>
          <w:sz w:val="20"/>
          <w:szCs w:val="20"/>
          <w:lang w:eastAsia="en-IN"/>
        </w:rPr>
      </w:pPr>
      <w:r w:rsidRPr="001E7AD4">
        <w:rPr>
          <w:rFonts w:ascii="Arial" w:eastAsia="Times New Roman" w:hAnsi="Arial" w:cs="Arial"/>
          <w:b/>
          <w:bCs/>
          <w:color w:val="000000"/>
          <w:sz w:val="20"/>
          <w:szCs w:val="20"/>
          <w:u w:val="single"/>
          <w:lang w:eastAsia="en-IN"/>
        </w:rPr>
        <w:t>International Trade Settlement in Indian Rupees (INR)</w:t>
      </w:r>
    </w:p>
    <w:p w:rsidR="00BA0C06" w:rsidRPr="001E7AD4" w:rsidRDefault="00BA0C06" w:rsidP="00BA0C06">
      <w:pPr>
        <w:spacing w:before="100" w:beforeAutospacing="1" w:after="100" w:afterAutospacing="1" w:line="240" w:lineRule="auto"/>
        <w:jc w:val="both"/>
        <w:rPr>
          <w:rFonts w:ascii="Arial" w:eastAsia="Times New Roman" w:hAnsi="Arial" w:cs="Arial"/>
          <w:color w:val="000000"/>
          <w:sz w:val="20"/>
          <w:szCs w:val="20"/>
          <w:lang w:eastAsia="en-IN"/>
        </w:rPr>
      </w:pPr>
      <w:r w:rsidRPr="001E7AD4">
        <w:rPr>
          <w:rFonts w:ascii="Arial" w:eastAsia="Times New Roman" w:hAnsi="Arial" w:cs="Arial"/>
          <w:color w:val="000000"/>
          <w:sz w:val="20"/>
          <w:szCs w:val="20"/>
          <w:lang w:eastAsia="en-IN"/>
        </w:rPr>
        <w:t>In order to promote growth of global trade with emphasis on exports from India and to support the increasing interest of global trading community in INR, it has been decided to put in place an additional arrangement for invoicing, payment, and settlement of exports / imports in INR. Before putting in place this mechanism, AD banks shall require prior approval from the Foreign Exchange Department of Reserve Bank of India, Central Office at Mumbai.</w:t>
      </w:r>
    </w:p>
    <w:p w:rsidR="00BA0C06" w:rsidRPr="001E7AD4" w:rsidRDefault="00BA0C06" w:rsidP="00BA0C06">
      <w:pPr>
        <w:spacing w:before="100" w:beforeAutospacing="1" w:after="100" w:afterAutospacing="1" w:line="240" w:lineRule="auto"/>
        <w:jc w:val="both"/>
        <w:rPr>
          <w:rFonts w:ascii="Arial" w:eastAsia="Times New Roman" w:hAnsi="Arial" w:cs="Arial"/>
          <w:color w:val="000000"/>
          <w:sz w:val="20"/>
          <w:szCs w:val="20"/>
          <w:lang w:eastAsia="en-IN"/>
        </w:rPr>
      </w:pPr>
      <w:r w:rsidRPr="001E7AD4">
        <w:rPr>
          <w:rFonts w:ascii="Arial" w:eastAsia="Times New Roman" w:hAnsi="Arial" w:cs="Arial"/>
          <w:color w:val="000000"/>
          <w:sz w:val="20"/>
          <w:szCs w:val="20"/>
          <w:lang w:eastAsia="en-IN"/>
        </w:rPr>
        <w:t>2. The broad framework for cross border trade transactions in INR under Foreign Exchange Management Act, 1999 (FEMA) is as delineated below:</w:t>
      </w:r>
    </w:p>
    <w:p w:rsidR="00BA0C06" w:rsidRPr="000F6CB6" w:rsidRDefault="00BA0C06" w:rsidP="00DA1141">
      <w:pPr>
        <w:numPr>
          <w:ilvl w:val="0"/>
          <w:numId w:val="4"/>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0F6CB6">
        <w:rPr>
          <w:rFonts w:ascii="Arial" w:eastAsia="Times New Roman" w:hAnsi="Arial" w:cs="Arial"/>
          <w:bCs/>
          <w:color w:val="000000"/>
          <w:sz w:val="20"/>
          <w:szCs w:val="20"/>
          <w:lang w:eastAsia="en-IN"/>
        </w:rPr>
        <w:t>Invoicing</w:t>
      </w:r>
    </w:p>
    <w:p w:rsidR="00BA0C06" w:rsidRPr="000F6CB6" w:rsidRDefault="00BA0C06" w:rsidP="00DA1141">
      <w:pPr>
        <w:numPr>
          <w:ilvl w:val="0"/>
          <w:numId w:val="4"/>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0F6CB6">
        <w:rPr>
          <w:rFonts w:ascii="Arial" w:eastAsia="Times New Roman" w:hAnsi="Arial" w:cs="Arial"/>
          <w:bCs/>
          <w:color w:val="000000"/>
          <w:sz w:val="20"/>
          <w:szCs w:val="20"/>
          <w:lang w:eastAsia="en-IN"/>
        </w:rPr>
        <w:t xml:space="preserve"> Exchange Rate</w:t>
      </w:r>
    </w:p>
    <w:p w:rsidR="00BA0C06" w:rsidRDefault="00BA0C06" w:rsidP="00DA1141">
      <w:pPr>
        <w:numPr>
          <w:ilvl w:val="0"/>
          <w:numId w:val="4"/>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0F6CB6">
        <w:rPr>
          <w:rFonts w:ascii="Arial" w:eastAsia="Times New Roman" w:hAnsi="Arial" w:cs="Arial"/>
          <w:bCs/>
          <w:color w:val="000000"/>
          <w:sz w:val="20"/>
          <w:szCs w:val="20"/>
          <w:lang w:eastAsia="en-IN"/>
        </w:rPr>
        <w:t xml:space="preserve"> Settlement</w:t>
      </w:r>
      <w:r w:rsidRPr="001E7AD4">
        <w:rPr>
          <w:rFonts w:ascii="Arial" w:eastAsia="Times New Roman" w:hAnsi="Arial" w:cs="Arial"/>
          <w:color w:val="000000"/>
          <w:sz w:val="20"/>
          <w:szCs w:val="20"/>
          <w:lang w:eastAsia="en-IN"/>
        </w:rPr>
        <w:t> </w:t>
      </w:r>
    </w:p>
    <w:p w:rsidR="00BA0C06" w:rsidRPr="001E7AD4" w:rsidRDefault="00BA0C06" w:rsidP="00BA0C06">
      <w:pPr>
        <w:spacing w:before="100" w:beforeAutospacing="1" w:after="100" w:afterAutospacing="1" w:line="240" w:lineRule="auto"/>
        <w:jc w:val="both"/>
        <w:rPr>
          <w:rFonts w:ascii="Arial" w:eastAsia="Times New Roman" w:hAnsi="Arial" w:cs="Arial"/>
          <w:color w:val="000000"/>
          <w:sz w:val="20"/>
          <w:szCs w:val="20"/>
          <w:lang w:eastAsia="en-IN"/>
        </w:rPr>
      </w:pPr>
      <w:r w:rsidRPr="001E7AD4">
        <w:rPr>
          <w:rFonts w:ascii="Arial" w:eastAsia="Times New Roman" w:hAnsi="Arial" w:cs="Arial"/>
          <w:color w:val="000000"/>
          <w:sz w:val="20"/>
          <w:szCs w:val="20"/>
          <w:lang w:eastAsia="en-IN"/>
        </w:rPr>
        <w:t xml:space="preserve"> 3. In terms of Regulation 7(1) of Foreign Exchange Management (Deposit) Regulations, 2016, AD banks in India have been permitted to open Rupee Vostro Accounts. Accordingly, for settlement of trade transactions with any country, AD bank in India may open Special Rupee Vostro Accounts of correspondent bank/s of the partner trading country. In order to allow settlement of international trade transactions through this arrangement, it has been decided that:</w:t>
      </w:r>
    </w:p>
    <w:p w:rsidR="00BA0C06" w:rsidRPr="001E7AD4" w:rsidRDefault="00BA0C06" w:rsidP="00DA1141">
      <w:pPr>
        <w:numPr>
          <w:ilvl w:val="0"/>
          <w:numId w:val="5"/>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1E7AD4">
        <w:rPr>
          <w:rFonts w:ascii="Arial" w:eastAsia="Times New Roman" w:hAnsi="Arial" w:cs="Arial"/>
          <w:color w:val="000000"/>
          <w:sz w:val="20"/>
          <w:szCs w:val="20"/>
          <w:lang w:eastAsia="en-IN"/>
        </w:rPr>
        <w:t>Indian importers undertaking imports through this mechanism shall make payment in INR which shall be credited into the Special Vostro account of the correspondent bank of the partner country, against the invoices for the supply of goods or services from the overseas seller /supplier.</w:t>
      </w:r>
    </w:p>
    <w:p w:rsidR="00BA0C06" w:rsidRPr="001E7AD4" w:rsidRDefault="00BA0C06" w:rsidP="00DA1141">
      <w:pPr>
        <w:numPr>
          <w:ilvl w:val="0"/>
          <w:numId w:val="5"/>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1E7AD4">
        <w:rPr>
          <w:rFonts w:ascii="Arial" w:eastAsia="Times New Roman" w:hAnsi="Arial" w:cs="Arial"/>
          <w:color w:val="000000"/>
          <w:sz w:val="20"/>
          <w:szCs w:val="20"/>
          <w:lang w:eastAsia="en-IN"/>
        </w:rPr>
        <w:t>Indian exporters, undertaking exports of goods and services through this mechanism, shall be paid the export proceeds in INR from the balances in the designated Special Vostro account of the correspondent bank of the partner country.</w:t>
      </w:r>
    </w:p>
    <w:p w:rsidR="00BA0C06" w:rsidRPr="001F219E" w:rsidRDefault="00BA0C06" w:rsidP="00BA0C06">
      <w:pPr>
        <w:spacing w:after="0" w:line="240" w:lineRule="auto"/>
        <w:rPr>
          <w:rFonts w:ascii="Arial" w:eastAsia="Times New Roman" w:hAnsi="Arial" w:cs="Arial"/>
          <w:bCs/>
          <w:color w:val="000000"/>
          <w:sz w:val="20"/>
          <w:szCs w:val="20"/>
          <w:lang w:eastAsia="en-IN"/>
        </w:rPr>
      </w:pPr>
      <w:r w:rsidRPr="001F219E">
        <w:rPr>
          <w:rFonts w:ascii="Arial" w:eastAsia="Times New Roman" w:hAnsi="Arial" w:cs="Arial"/>
          <w:bCs/>
          <w:color w:val="000000"/>
          <w:sz w:val="20"/>
          <w:szCs w:val="20"/>
          <w:lang w:eastAsia="en-IN"/>
        </w:rPr>
        <w:t>4.    Documentation</w:t>
      </w:r>
    </w:p>
    <w:p w:rsidR="00BA0C06" w:rsidRPr="001F219E" w:rsidRDefault="00BA0C06" w:rsidP="00BA0C06">
      <w:pPr>
        <w:spacing w:after="0" w:line="240" w:lineRule="auto"/>
        <w:rPr>
          <w:rFonts w:ascii="Arial" w:eastAsia="Times New Roman" w:hAnsi="Arial" w:cs="Arial"/>
          <w:color w:val="000000"/>
          <w:sz w:val="20"/>
          <w:szCs w:val="20"/>
          <w:lang w:eastAsia="en-IN"/>
        </w:rPr>
      </w:pPr>
      <w:r w:rsidRPr="001F219E">
        <w:rPr>
          <w:rFonts w:ascii="Arial" w:eastAsia="Times New Roman" w:hAnsi="Arial" w:cs="Arial"/>
          <w:bCs/>
          <w:color w:val="000000"/>
          <w:sz w:val="20"/>
          <w:szCs w:val="20"/>
          <w:lang w:eastAsia="en-IN"/>
        </w:rPr>
        <w:t>5.    Advance against exports</w:t>
      </w:r>
    </w:p>
    <w:p w:rsidR="00BA0C06" w:rsidRPr="001F219E" w:rsidRDefault="00BA0C06" w:rsidP="00BA0C06">
      <w:pPr>
        <w:spacing w:after="0" w:line="240" w:lineRule="auto"/>
        <w:rPr>
          <w:rFonts w:ascii="Arial" w:eastAsia="Times New Roman" w:hAnsi="Arial" w:cs="Arial"/>
          <w:bCs/>
          <w:color w:val="000000"/>
          <w:sz w:val="20"/>
          <w:szCs w:val="20"/>
          <w:lang w:eastAsia="en-IN"/>
        </w:rPr>
      </w:pPr>
      <w:r w:rsidRPr="001F219E">
        <w:rPr>
          <w:rFonts w:ascii="Arial" w:eastAsia="Times New Roman" w:hAnsi="Arial" w:cs="Arial"/>
          <w:bCs/>
          <w:color w:val="000000"/>
          <w:sz w:val="20"/>
          <w:szCs w:val="20"/>
          <w:lang w:eastAsia="en-IN"/>
        </w:rPr>
        <w:t>6.    Setting-off of export receivables</w:t>
      </w:r>
    </w:p>
    <w:p w:rsidR="00BA0C06" w:rsidRPr="001F219E" w:rsidRDefault="00BA0C06" w:rsidP="00BA0C06">
      <w:pPr>
        <w:spacing w:after="0" w:line="240" w:lineRule="auto"/>
        <w:rPr>
          <w:rFonts w:ascii="Arial" w:eastAsia="Times New Roman" w:hAnsi="Arial" w:cs="Arial"/>
          <w:bCs/>
          <w:color w:val="000000"/>
          <w:sz w:val="20"/>
          <w:szCs w:val="20"/>
          <w:lang w:eastAsia="en-IN"/>
        </w:rPr>
      </w:pPr>
      <w:r w:rsidRPr="001F219E">
        <w:rPr>
          <w:rFonts w:ascii="Arial" w:eastAsia="Times New Roman" w:hAnsi="Arial" w:cs="Arial"/>
          <w:bCs/>
          <w:color w:val="000000"/>
          <w:sz w:val="20"/>
          <w:szCs w:val="20"/>
          <w:lang w:eastAsia="en-IN"/>
        </w:rPr>
        <w:t>7.    Bank Guarantee</w:t>
      </w:r>
      <w:r w:rsidRPr="001E7AD4">
        <w:rPr>
          <w:rFonts w:ascii="Arial" w:eastAsia="Times New Roman" w:hAnsi="Arial" w:cs="Arial"/>
          <w:color w:val="000000"/>
          <w:sz w:val="20"/>
          <w:szCs w:val="20"/>
          <w:lang w:eastAsia="en-IN"/>
        </w:rPr>
        <w:t> </w:t>
      </w:r>
    </w:p>
    <w:p w:rsidR="00BA0C06" w:rsidRPr="001E7AD4" w:rsidRDefault="00BA0C06" w:rsidP="00BA0C06">
      <w:pPr>
        <w:spacing w:after="0" w:line="240" w:lineRule="auto"/>
        <w:rPr>
          <w:rFonts w:ascii="Arial" w:eastAsia="Times New Roman" w:hAnsi="Arial" w:cs="Arial"/>
          <w:bCs/>
          <w:color w:val="000000"/>
          <w:sz w:val="20"/>
          <w:szCs w:val="20"/>
          <w:lang w:eastAsia="en-IN"/>
        </w:rPr>
      </w:pPr>
      <w:r w:rsidRPr="001F219E">
        <w:rPr>
          <w:rFonts w:ascii="Arial" w:eastAsia="Times New Roman" w:hAnsi="Arial" w:cs="Arial"/>
          <w:bCs/>
          <w:color w:val="000000"/>
          <w:sz w:val="20"/>
          <w:szCs w:val="20"/>
          <w:lang w:eastAsia="en-IN"/>
        </w:rPr>
        <w:t>8.    Use of Surplus Balance</w:t>
      </w:r>
    </w:p>
    <w:p w:rsidR="00BA0C06" w:rsidRPr="001E7AD4" w:rsidRDefault="00BA0C06" w:rsidP="00BA0C06">
      <w:pPr>
        <w:spacing w:after="0" w:line="240" w:lineRule="auto"/>
        <w:rPr>
          <w:rFonts w:ascii="Arial" w:eastAsia="Times New Roman" w:hAnsi="Arial" w:cs="Arial"/>
          <w:color w:val="000000"/>
          <w:sz w:val="20"/>
          <w:szCs w:val="20"/>
          <w:lang w:eastAsia="en-IN"/>
        </w:rPr>
      </w:pPr>
      <w:r w:rsidRPr="001F219E">
        <w:rPr>
          <w:rFonts w:ascii="Arial" w:eastAsia="Times New Roman" w:hAnsi="Arial" w:cs="Arial"/>
          <w:bCs/>
          <w:color w:val="000000"/>
          <w:sz w:val="20"/>
          <w:szCs w:val="20"/>
          <w:lang w:eastAsia="en-IN"/>
        </w:rPr>
        <w:t>9.    Reporting Requirements</w:t>
      </w:r>
    </w:p>
    <w:p w:rsidR="00BA0C06" w:rsidRPr="001F219E" w:rsidRDefault="00BA0C06" w:rsidP="00BA0C06">
      <w:pPr>
        <w:spacing w:after="0" w:line="240" w:lineRule="auto"/>
        <w:rPr>
          <w:rFonts w:ascii="Arial" w:eastAsia="Times New Roman" w:hAnsi="Arial" w:cs="Arial"/>
          <w:bCs/>
          <w:color w:val="000000"/>
          <w:sz w:val="20"/>
          <w:szCs w:val="20"/>
          <w:lang w:eastAsia="en-IN"/>
        </w:rPr>
      </w:pPr>
      <w:r w:rsidRPr="001F219E">
        <w:rPr>
          <w:rFonts w:ascii="Arial" w:eastAsia="Times New Roman" w:hAnsi="Arial" w:cs="Arial"/>
          <w:bCs/>
          <w:color w:val="000000"/>
          <w:sz w:val="20"/>
          <w:szCs w:val="20"/>
          <w:lang w:eastAsia="en-IN"/>
        </w:rPr>
        <w:t>10.  Approval Process</w:t>
      </w:r>
    </w:p>
    <w:p w:rsidR="00BA0C06" w:rsidRPr="001E7AD4" w:rsidRDefault="00BA0C06" w:rsidP="00BA0C06">
      <w:pPr>
        <w:spacing w:after="0" w:line="240" w:lineRule="auto"/>
        <w:jc w:val="both"/>
        <w:rPr>
          <w:rFonts w:ascii="Arial" w:eastAsia="Times New Roman" w:hAnsi="Arial" w:cs="Arial"/>
          <w:b/>
          <w:bCs/>
          <w:color w:val="000000"/>
          <w:sz w:val="20"/>
          <w:szCs w:val="20"/>
          <w:lang w:eastAsia="en-IN"/>
        </w:rPr>
      </w:pPr>
    </w:p>
    <w:p w:rsidR="00BA0C06" w:rsidRPr="001E7AD4" w:rsidRDefault="00BA0C06" w:rsidP="00BA0C06">
      <w:pPr>
        <w:spacing w:after="0" w:line="240" w:lineRule="auto"/>
        <w:jc w:val="both"/>
        <w:rPr>
          <w:rFonts w:ascii="Arial" w:eastAsia="Times New Roman" w:hAnsi="Arial" w:cs="Arial"/>
          <w:color w:val="000000"/>
          <w:sz w:val="20"/>
          <w:szCs w:val="20"/>
          <w:lang w:eastAsia="en-IN"/>
        </w:rPr>
      </w:pPr>
      <w:r w:rsidRPr="001E7AD4">
        <w:rPr>
          <w:rFonts w:ascii="Arial" w:eastAsia="Times New Roman" w:hAnsi="Arial" w:cs="Arial"/>
          <w:color w:val="000000"/>
          <w:sz w:val="20"/>
          <w:szCs w:val="20"/>
          <w:lang w:eastAsia="en-IN"/>
        </w:rPr>
        <w:t>Yours faithfully,</w:t>
      </w:r>
    </w:p>
    <w:p w:rsidR="00BA0C06" w:rsidRPr="001E7AD4" w:rsidRDefault="00BA0C06" w:rsidP="00BA0C06">
      <w:pPr>
        <w:spacing w:after="0" w:line="240" w:lineRule="auto"/>
        <w:rPr>
          <w:rFonts w:ascii="Arial" w:eastAsia="Times New Roman" w:hAnsi="Arial" w:cs="Arial"/>
          <w:color w:val="000000"/>
          <w:sz w:val="20"/>
          <w:szCs w:val="20"/>
          <w:lang w:eastAsia="en-IN"/>
        </w:rPr>
      </w:pPr>
      <w:r w:rsidRPr="001E7AD4">
        <w:rPr>
          <w:rFonts w:ascii="Arial" w:eastAsia="Times New Roman" w:hAnsi="Arial" w:cs="Arial"/>
          <w:color w:val="000000"/>
          <w:sz w:val="20"/>
          <w:szCs w:val="20"/>
          <w:lang w:eastAsia="en-IN"/>
        </w:rPr>
        <w:t>(Vivek</w:t>
      </w:r>
      <w:r>
        <w:rPr>
          <w:rFonts w:ascii="Arial" w:eastAsia="Times New Roman" w:hAnsi="Arial" w:cs="Arial"/>
          <w:color w:val="000000"/>
          <w:sz w:val="20"/>
          <w:szCs w:val="20"/>
          <w:lang w:eastAsia="en-IN"/>
        </w:rPr>
        <w:t xml:space="preserve"> </w:t>
      </w:r>
      <w:r w:rsidRPr="001E7AD4">
        <w:rPr>
          <w:rFonts w:ascii="Arial" w:eastAsia="Times New Roman" w:hAnsi="Arial" w:cs="Arial"/>
          <w:color w:val="000000"/>
          <w:sz w:val="20"/>
          <w:szCs w:val="20"/>
          <w:lang w:eastAsia="en-IN"/>
        </w:rPr>
        <w:t>Srivastava)</w:t>
      </w:r>
      <w:r w:rsidRPr="001E7AD4">
        <w:rPr>
          <w:rFonts w:ascii="Arial" w:eastAsia="Times New Roman" w:hAnsi="Arial" w:cs="Arial"/>
          <w:color w:val="000000"/>
          <w:sz w:val="20"/>
          <w:szCs w:val="20"/>
          <w:lang w:eastAsia="en-IN"/>
        </w:rPr>
        <w:br/>
        <w:t>Chief General Manager</w:t>
      </w:r>
    </w:p>
    <w:p w:rsidR="00BA0C06" w:rsidRDefault="00BA0C06" w:rsidP="00BA0C06"/>
    <w:p w:rsidR="00BA0C06" w:rsidRDefault="00BA0C06" w:rsidP="00BA0C06"/>
    <w:p w:rsidR="00BA0C06" w:rsidRDefault="00BA0C06" w:rsidP="00BA0C06">
      <w:r>
        <w:t>More details can be referred to in the below link.</w:t>
      </w:r>
    </w:p>
    <w:p w:rsidR="00BA0C06" w:rsidRDefault="00BA0C06" w:rsidP="00BA0C06">
      <w:pPr>
        <w:spacing w:after="0"/>
        <w:jc w:val="both"/>
      </w:pPr>
      <w:r>
        <w:rPr>
          <w:rFonts w:ascii="Arial" w:hAnsi="Arial" w:cs="Arial"/>
          <w:sz w:val="20"/>
          <w:szCs w:val="20"/>
        </w:rPr>
        <w:t>Reference Link:</w:t>
      </w:r>
      <w:r w:rsidRPr="00121B22">
        <w:t xml:space="preserve"> </w:t>
      </w:r>
      <w:hyperlink r:id="rId27" w:history="1">
        <w:r w:rsidRPr="00200311">
          <w:rPr>
            <w:rStyle w:val="Hyperlink"/>
          </w:rPr>
          <w:t>https://rbi.org.in/Scripts/NotificationUser.aspx?Id=12358&amp;Mode=0</w:t>
        </w:r>
      </w:hyperlink>
    </w:p>
    <w:p w:rsidR="00BA0C06" w:rsidRPr="0095703D" w:rsidRDefault="00BA0C06" w:rsidP="00BA0C06">
      <w:pPr>
        <w:rPr>
          <w:rFonts w:ascii="Arial" w:hAnsi="Arial" w:cs="Arial"/>
          <w:b/>
          <w:sz w:val="20"/>
          <w:szCs w:val="20"/>
        </w:rPr>
      </w:pPr>
      <w:r w:rsidRPr="0095703D">
        <w:rPr>
          <w:rFonts w:ascii="Arial" w:hAnsi="Arial" w:cs="Arial"/>
          <w:b/>
          <w:sz w:val="20"/>
          <w:szCs w:val="20"/>
        </w:rPr>
        <w:lastRenderedPageBreak/>
        <w:t xml:space="preserve">Master Circular – </w:t>
      </w:r>
      <w:proofErr w:type="spellStart"/>
      <w:r w:rsidRPr="0095703D">
        <w:rPr>
          <w:rFonts w:ascii="Arial" w:hAnsi="Arial" w:cs="Arial"/>
          <w:b/>
          <w:sz w:val="20"/>
          <w:szCs w:val="20"/>
        </w:rPr>
        <w:t>Deendayal</w:t>
      </w:r>
      <w:proofErr w:type="spellEnd"/>
      <w:r w:rsidRPr="0095703D">
        <w:rPr>
          <w:rFonts w:ascii="Arial" w:hAnsi="Arial" w:cs="Arial"/>
          <w:b/>
          <w:sz w:val="20"/>
          <w:szCs w:val="20"/>
        </w:rPr>
        <w:t xml:space="preserve"> </w:t>
      </w:r>
      <w:proofErr w:type="spellStart"/>
      <w:r w:rsidRPr="0095703D">
        <w:rPr>
          <w:rFonts w:ascii="Arial" w:hAnsi="Arial" w:cs="Arial"/>
          <w:b/>
          <w:sz w:val="20"/>
          <w:szCs w:val="20"/>
        </w:rPr>
        <w:t>Antyodaya</w:t>
      </w:r>
      <w:proofErr w:type="spellEnd"/>
      <w:r w:rsidRPr="0095703D">
        <w:rPr>
          <w:rFonts w:ascii="Arial" w:hAnsi="Arial" w:cs="Arial"/>
          <w:b/>
          <w:sz w:val="20"/>
          <w:szCs w:val="20"/>
        </w:rPr>
        <w:t xml:space="preserve"> </w:t>
      </w:r>
      <w:proofErr w:type="spellStart"/>
      <w:r w:rsidRPr="0095703D">
        <w:rPr>
          <w:rFonts w:ascii="Arial" w:hAnsi="Arial" w:cs="Arial"/>
          <w:b/>
          <w:sz w:val="20"/>
          <w:szCs w:val="20"/>
        </w:rPr>
        <w:t>Yojana</w:t>
      </w:r>
      <w:proofErr w:type="spellEnd"/>
      <w:r w:rsidRPr="0095703D">
        <w:rPr>
          <w:rFonts w:ascii="Arial" w:hAnsi="Arial" w:cs="Arial"/>
          <w:b/>
          <w:sz w:val="20"/>
          <w:szCs w:val="20"/>
        </w:rPr>
        <w:t xml:space="preserve"> - National Rural Livelihoods Mission (DAY-NRLM)</w:t>
      </w:r>
    </w:p>
    <w:p w:rsidR="00BA0C06" w:rsidRDefault="00BA0C06" w:rsidP="00BA0C06">
      <w:pPr>
        <w:spacing w:after="0"/>
        <w:rPr>
          <w:rFonts w:ascii="Arial" w:hAnsi="Arial" w:cs="Arial"/>
          <w:sz w:val="20"/>
          <w:szCs w:val="20"/>
        </w:rPr>
      </w:pPr>
      <w:r w:rsidRPr="0095703D">
        <w:rPr>
          <w:rFonts w:ascii="Arial" w:hAnsi="Arial" w:cs="Arial"/>
          <w:sz w:val="20"/>
          <w:szCs w:val="20"/>
        </w:rPr>
        <w:t>RBI/2022-23/92</w:t>
      </w:r>
    </w:p>
    <w:p w:rsidR="00BA0C06" w:rsidRPr="0095703D" w:rsidRDefault="00BA0C06" w:rsidP="00BA0C06">
      <w:pPr>
        <w:spacing w:after="0"/>
        <w:rPr>
          <w:rFonts w:ascii="Arial" w:hAnsi="Arial" w:cs="Arial"/>
          <w:sz w:val="20"/>
          <w:szCs w:val="20"/>
        </w:rPr>
      </w:pPr>
      <w:proofErr w:type="gramStart"/>
      <w:r>
        <w:rPr>
          <w:rFonts w:ascii="Arial" w:hAnsi="Arial" w:cs="Arial"/>
          <w:color w:val="000000"/>
          <w:sz w:val="20"/>
          <w:szCs w:val="20"/>
        </w:rPr>
        <w:t>FIDD.GSSD.CO.BC.No.</w:t>
      </w:r>
      <w:proofErr w:type="gramEnd"/>
      <w:r>
        <w:rPr>
          <w:rFonts w:ascii="Arial" w:hAnsi="Arial" w:cs="Arial"/>
          <w:color w:val="000000"/>
          <w:sz w:val="20"/>
          <w:szCs w:val="20"/>
        </w:rPr>
        <w:t>09/09.01.003/2022-23</w:t>
      </w:r>
    </w:p>
    <w:p w:rsidR="00BA0C06" w:rsidRDefault="00BA0C06" w:rsidP="00BA0C06">
      <w:pPr>
        <w:pStyle w:val="NormalWeb"/>
        <w:jc w:val="right"/>
        <w:rPr>
          <w:rFonts w:ascii="Arial" w:hAnsi="Arial" w:cs="Arial"/>
          <w:color w:val="000000"/>
          <w:sz w:val="20"/>
          <w:szCs w:val="20"/>
        </w:rPr>
      </w:pPr>
      <w:r>
        <w:rPr>
          <w:rFonts w:ascii="Arial" w:hAnsi="Arial" w:cs="Arial"/>
          <w:color w:val="000000"/>
          <w:sz w:val="20"/>
          <w:szCs w:val="20"/>
        </w:rPr>
        <w:t>July 20, 2022</w:t>
      </w:r>
    </w:p>
    <w:p w:rsidR="00BA0C06" w:rsidRDefault="00BA0C06" w:rsidP="00BA0C06">
      <w:pPr>
        <w:pStyle w:val="NormalWeb"/>
        <w:rPr>
          <w:rFonts w:ascii="Arial" w:hAnsi="Arial" w:cs="Arial"/>
          <w:color w:val="000000"/>
          <w:sz w:val="20"/>
          <w:szCs w:val="20"/>
        </w:rPr>
      </w:pPr>
      <w:r>
        <w:rPr>
          <w:rFonts w:ascii="Arial" w:hAnsi="Arial" w:cs="Arial"/>
          <w:color w:val="000000"/>
          <w:sz w:val="20"/>
          <w:szCs w:val="20"/>
        </w:rPr>
        <w:t>The Chairman/Managing Director &amp; CEO</w:t>
      </w:r>
      <w:r>
        <w:rPr>
          <w:rFonts w:ascii="Arial" w:hAnsi="Arial" w:cs="Arial"/>
          <w:color w:val="000000"/>
          <w:sz w:val="20"/>
          <w:szCs w:val="20"/>
        </w:rPr>
        <w:br/>
        <w:t>Public Sector Banks,</w:t>
      </w:r>
      <w:r>
        <w:rPr>
          <w:rFonts w:ascii="Arial" w:hAnsi="Arial" w:cs="Arial"/>
          <w:color w:val="000000"/>
          <w:sz w:val="20"/>
          <w:szCs w:val="20"/>
        </w:rPr>
        <w:br/>
        <w:t>Private Sector Banks (including Small Finance Banks)</w:t>
      </w:r>
    </w:p>
    <w:p w:rsidR="00BA0C06" w:rsidRDefault="00BA0C06" w:rsidP="00BA0C06">
      <w:pPr>
        <w:pStyle w:val="NormalWeb"/>
        <w:jc w:val="both"/>
        <w:rPr>
          <w:rFonts w:ascii="Arial" w:hAnsi="Arial" w:cs="Arial"/>
          <w:color w:val="000000"/>
          <w:sz w:val="20"/>
          <w:szCs w:val="20"/>
        </w:rPr>
      </w:pPr>
      <w:r>
        <w:rPr>
          <w:rFonts w:ascii="Arial" w:hAnsi="Arial" w:cs="Arial"/>
          <w:color w:val="000000"/>
          <w:sz w:val="20"/>
          <w:szCs w:val="20"/>
        </w:rPr>
        <w:t>Madam/Dear Sir,</w:t>
      </w:r>
    </w:p>
    <w:p w:rsidR="00BA0C06" w:rsidRDefault="00BA0C06" w:rsidP="00BA0C06">
      <w:pPr>
        <w:pStyle w:val="head"/>
        <w:jc w:val="both"/>
        <w:rPr>
          <w:rFonts w:ascii="Arial" w:hAnsi="Arial" w:cs="Arial"/>
          <w:b/>
          <w:bCs/>
          <w:color w:val="000000"/>
          <w:sz w:val="20"/>
          <w:szCs w:val="20"/>
        </w:rPr>
      </w:pPr>
      <w:r>
        <w:rPr>
          <w:rFonts w:ascii="Arial" w:hAnsi="Arial" w:cs="Arial"/>
          <w:b/>
          <w:bCs/>
          <w:color w:val="000000"/>
          <w:sz w:val="20"/>
          <w:szCs w:val="20"/>
        </w:rPr>
        <w:t xml:space="preserve">Master Circular – </w:t>
      </w:r>
      <w:proofErr w:type="spellStart"/>
      <w:r>
        <w:rPr>
          <w:rFonts w:ascii="Arial" w:hAnsi="Arial" w:cs="Arial"/>
          <w:b/>
          <w:bCs/>
          <w:color w:val="000000"/>
          <w:sz w:val="20"/>
          <w:szCs w:val="20"/>
        </w:rPr>
        <w:t>Deendayal</w:t>
      </w:r>
      <w:proofErr w:type="spellEnd"/>
      <w:r>
        <w:rPr>
          <w:rFonts w:ascii="Arial" w:hAnsi="Arial" w:cs="Arial"/>
          <w:b/>
          <w:bCs/>
          <w:color w:val="000000"/>
          <w:sz w:val="20"/>
          <w:szCs w:val="20"/>
        </w:rPr>
        <w:t xml:space="preserve"> </w:t>
      </w:r>
      <w:proofErr w:type="spellStart"/>
      <w:r>
        <w:rPr>
          <w:rFonts w:ascii="Arial" w:hAnsi="Arial" w:cs="Arial"/>
          <w:b/>
          <w:bCs/>
          <w:color w:val="000000"/>
          <w:sz w:val="20"/>
          <w:szCs w:val="20"/>
        </w:rPr>
        <w:t>Antyodaya</w:t>
      </w:r>
      <w:proofErr w:type="spellEnd"/>
      <w:r>
        <w:rPr>
          <w:rFonts w:ascii="Arial" w:hAnsi="Arial" w:cs="Arial"/>
          <w:b/>
          <w:bCs/>
          <w:color w:val="000000"/>
          <w:sz w:val="20"/>
          <w:szCs w:val="20"/>
        </w:rPr>
        <w:t xml:space="preserve"> </w:t>
      </w:r>
      <w:proofErr w:type="spellStart"/>
      <w:r>
        <w:rPr>
          <w:rFonts w:ascii="Arial" w:hAnsi="Arial" w:cs="Arial"/>
          <w:b/>
          <w:bCs/>
          <w:color w:val="000000"/>
          <w:sz w:val="20"/>
          <w:szCs w:val="20"/>
        </w:rPr>
        <w:t>Yojana</w:t>
      </w:r>
      <w:proofErr w:type="spellEnd"/>
      <w:r>
        <w:rPr>
          <w:rFonts w:ascii="Arial" w:hAnsi="Arial" w:cs="Arial"/>
          <w:b/>
          <w:bCs/>
          <w:color w:val="000000"/>
          <w:sz w:val="20"/>
          <w:szCs w:val="20"/>
        </w:rPr>
        <w:t xml:space="preserve"> - National Rural Livelihoods Mission (DAY-NRLM)</w:t>
      </w:r>
    </w:p>
    <w:p w:rsidR="00BA0C06" w:rsidRDefault="00BA0C06" w:rsidP="00BA0C06">
      <w:pPr>
        <w:pStyle w:val="NormalWeb"/>
        <w:jc w:val="both"/>
        <w:rPr>
          <w:rFonts w:ascii="Arial" w:hAnsi="Arial" w:cs="Arial"/>
          <w:color w:val="000000"/>
          <w:sz w:val="20"/>
          <w:szCs w:val="20"/>
        </w:rPr>
      </w:pPr>
      <w:r>
        <w:rPr>
          <w:rFonts w:ascii="Arial" w:hAnsi="Arial" w:cs="Arial"/>
          <w:color w:val="000000"/>
          <w:sz w:val="20"/>
          <w:szCs w:val="20"/>
        </w:rPr>
        <w:t>Please refer to the </w:t>
      </w:r>
      <w:hyperlink r:id="rId28" w:tgtFrame="_blank" w:history="1">
        <w:r>
          <w:rPr>
            <w:rStyle w:val="Hyperlink"/>
            <w:rFonts w:ascii="Arial" w:hAnsi="Arial" w:cs="Arial"/>
            <w:sz w:val="20"/>
            <w:szCs w:val="20"/>
          </w:rPr>
          <w:t>Master Circular FIDD.GSSD.CO.BC.No.04/09.01.01/2021-22 dated April 01, 2021</w:t>
        </w:r>
      </w:hyperlink>
      <w:r>
        <w:rPr>
          <w:rFonts w:ascii="Arial" w:hAnsi="Arial" w:cs="Arial"/>
          <w:color w:val="000000"/>
          <w:sz w:val="20"/>
          <w:szCs w:val="20"/>
        </w:rPr>
        <w:t xml:space="preserve"> on </w:t>
      </w:r>
      <w:proofErr w:type="spellStart"/>
      <w:r>
        <w:rPr>
          <w:rFonts w:ascii="Arial" w:hAnsi="Arial" w:cs="Arial"/>
          <w:color w:val="000000"/>
          <w:sz w:val="20"/>
          <w:szCs w:val="20"/>
        </w:rPr>
        <w:t>Deendayal</w:t>
      </w:r>
      <w:proofErr w:type="spellEnd"/>
      <w:r>
        <w:rPr>
          <w:rFonts w:ascii="Arial" w:hAnsi="Arial" w:cs="Arial"/>
          <w:color w:val="000000"/>
          <w:sz w:val="20"/>
          <w:szCs w:val="20"/>
        </w:rPr>
        <w:t xml:space="preserve"> </w:t>
      </w:r>
      <w:proofErr w:type="spellStart"/>
      <w:r>
        <w:rPr>
          <w:rFonts w:ascii="Arial" w:hAnsi="Arial" w:cs="Arial"/>
          <w:color w:val="000000"/>
          <w:sz w:val="20"/>
          <w:szCs w:val="20"/>
        </w:rPr>
        <w:t>Antyodaya</w:t>
      </w:r>
      <w:proofErr w:type="spellEnd"/>
      <w:r>
        <w:rPr>
          <w:rFonts w:ascii="Arial" w:hAnsi="Arial" w:cs="Arial"/>
          <w:color w:val="000000"/>
          <w:sz w:val="20"/>
          <w:szCs w:val="20"/>
        </w:rPr>
        <w:t xml:space="preserve"> </w:t>
      </w:r>
      <w:proofErr w:type="spellStart"/>
      <w:r>
        <w:rPr>
          <w:rFonts w:ascii="Arial" w:hAnsi="Arial" w:cs="Arial"/>
          <w:color w:val="000000"/>
          <w:sz w:val="20"/>
          <w:szCs w:val="20"/>
        </w:rPr>
        <w:t>Yojana</w:t>
      </w:r>
      <w:proofErr w:type="spellEnd"/>
      <w:r>
        <w:rPr>
          <w:rFonts w:ascii="Arial" w:hAnsi="Arial" w:cs="Arial"/>
          <w:color w:val="000000"/>
          <w:sz w:val="20"/>
          <w:szCs w:val="20"/>
        </w:rPr>
        <w:t xml:space="preserve"> - National Rural Livelihoods Mission (DAY-NRLM).</w:t>
      </w:r>
    </w:p>
    <w:p w:rsidR="00BA0C06" w:rsidRDefault="00BA0C06" w:rsidP="00BA0C06">
      <w:pPr>
        <w:pStyle w:val="NormalWeb"/>
        <w:jc w:val="both"/>
        <w:rPr>
          <w:rFonts w:ascii="Arial" w:hAnsi="Arial" w:cs="Arial"/>
          <w:color w:val="000000"/>
          <w:sz w:val="20"/>
          <w:szCs w:val="20"/>
        </w:rPr>
      </w:pPr>
      <w:r>
        <w:rPr>
          <w:rFonts w:ascii="Arial" w:hAnsi="Arial" w:cs="Arial"/>
          <w:color w:val="000000"/>
          <w:sz w:val="20"/>
          <w:szCs w:val="20"/>
        </w:rPr>
        <w:t>2. The enclosed </w:t>
      </w:r>
      <w:hyperlink r:id="rId29" w:anchor="MC" w:history="1">
        <w:r>
          <w:rPr>
            <w:rStyle w:val="Hyperlink"/>
            <w:rFonts w:ascii="Arial" w:hAnsi="Arial" w:cs="Arial"/>
            <w:sz w:val="20"/>
            <w:szCs w:val="20"/>
          </w:rPr>
          <w:t>Master Circular</w:t>
        </w:r>
      </w:hyperlink>
      <w:r>
        <w:rPr>
          <w:rFonts w:ascii="Arial" w:hAnsi="Arial" w:cs="Arial"/>
          <w:color w:val="000000"/>
          <w:sz w:val="20"/>
          <w:szCs w:val="20"/>
        </w:rPr>
        <w:t> consolidates and updates all the instructions/guidelines on the subject issued till date and replaces the earlier Master Circular issued on the subject.</w:t>
      </w:r>
    </w:p>
    <w:p w:rsidR="00BA0C06" w:rsidRDefault="00BA0C06" w:rsidP="00BA0C06">
      <w:pPr>
        <w:pStyle w:val="NormalWeb"/>
        <w:jc w:val="both"/>
        <w:rPr>
          <w:rFonts w:ascii="Arial" w:hAnsi="Arial" w:cs="Arial"/>
          <w:color w:val="000000"/>
          <w:sz w:val="20"/>
          <w:szCs w:val="20"/>
        </w:rPr>
      </w:pPr>
      <w:r>
        <w:rPr>
          <w:rFonts w:ascii="Arial" w:hAnsi="Arial" w:cs="Arial"/>
          <w:color w:val="000000"/>
          <w:sz w:val="20"/>
          <w:szCs w:val="20"/>
        </w:rPr>
        <w:t>Yours faithfully,</w:t>
      </w:r>
    </w:p>
    <w:p w:rsidR="00BA0C06" w:rsidRDefault="00BA0C06" w:rsidP="00BA0C06">
      <w:pPr>
        <w:pStyle w:val="NormalWeb"/>
        <w:rPr>
          <w:rFonts w:ascii="Arial" w:hAnsi="Arial" w:cs="Arial"/>
          <w:color w:val="000000"/>
          <w:sz w:val="20"/>
          <w:szCs w:val="20"/>
        </w:rPr>
      </w:pPr>
      <w:r>
        <w:rPr>
          <w:rFonts w:ascii="Arial" w:hAnsi="Arial" w:cs="Arial"/>
          <w:color w:val="000000"/>
          <w:sz w:val="20"/>
          <w:szCs w:val="20"/>
        </w:rPr>
        <w:t>(</w:t>
      </w:r>
      <w:proofErr w:type="spellStart"/>
      <w:r>
        <w:rPr>
          <w:rFonts w:ascii="Arial" w:hAnsi="Arial" w:cs="Arial"/>
          <w:color w:val="000000"/>
          <w:sz w:val="20"/>
          <w:szCs w:val="20"/>
        </w:rPr>
        <w:t>Nisha</w:t>
      </w:r>
      <w:proofErr w:type="spellEnd"/>
      <w:r>
        <w:rPr>
          <w:rFonts w:ascii="Arial" w:hAnsi="Arial" w:cs="Arial"/>
          <w:color w:val="000000"/>
          <w:sz w:val="20"/>
          <w:szCs w:val="20"/>
        </w:rPr>
        <w:t xml:space="preserve"> </w:t>
      </w:r>
      <w:proofErr w:type="spellStart"/>
      <w:r>
        <w:rPr>
          <w:rFonts w:ascii="Arial" w:hAnsi="Arial" w:cs="Arial"/>
          <w:color w:val="000000"/>
          <w:sz w:val="20"/>
          <w:szCs w:val="20"/>
        </w:rPr>
        <w:t>Nambiar</w:t>
      </w:r>
      <w:proofErr w:type="spellEnd"/>
      <w:r>
        <w:rPr>
          <w:rFonts w:ascii="Arial" w:hAnsi="Arial" w:cs="Arial"/>
          <w:color w:val="000000"/>
          <w:sz w:val="20"/>
          <w:szCs w:val="20"/>
        </w:rPr>
        <w:t>)</w:t>
      </w:r>
      <w:r>
        <w:rPr>
          <w:rFonts w:ascii="Arial" w:hAnsi="Arial" w:cs="Arial"/>
          <w:color w:val="000000"/>
          <w:sz w:val="20"/>
          <w:szCs w:val="20"/>
        </w:rPr>
        <w:br/>
        <w:t>Chief General Manager</w:t>
      </w:r>
    </w:p>
    <w:p w:rsidR="00BA0C06" w:rsidRDefault="00BA0C06" w:rsidP="00BA0C06">
      <w:pPr>
        <w:rPr>
          <w:rFonts w:ascii="Arial" w:hAnsi="Arial" w:cs="Arial"/>
          <w:sz w:val="20"/>
          <w:szCs w:val="20"/>
        </w:rPr>
      </w:pPr>
    </w:p>
    <w:p w:rsidR="00BA0C06" w:rsidRDefault="00BA0C06" w:rsidP="00BA0C06">
      <w:pPr>
        <w:rPr>
          <w:rFonts w:ascii="Arial" w:hAnsi="Arial" w:cs="Arial"/>
          <w:sz w:val="20"/>
          <w:szCs w:val="20"/>
        </w:rPr>
      </w:pPr>
    </w:p>
    <w:p w:rsidR="00BA0C06" w:rsidRDefault="00BA0C06" w:rsidP="00BA0C06">
      <w:pPr>
        <w:rPr>
          <w:rFonts w:ascii="Arial" w:hAnsi="Arial" w:cs="Arial"/>
          <w:sz w:val="20"/>
          <w:szCs w:val="20"/>
        </w:rPr>
      </w:pPr>
    </w:p>
    <w:p w:rsidR="00BA0C06" w:rsidRDefault="00BA0C06" w:rsidP="00BA0C06">
      <w:r>
        <w:t>More details can be referred to in the below link.</w:t>
      </w:r>
    </w:p>
    <w:p w:rsidR="00BA0C06" w:rsidRDefault="00BA0C06" w:rsidP="00BA0C06">
      <w:pPr>
        <w:rPr>
          <w:rFonts w:ascii="Arial" w:hAnsi="Arial" w:cs="Arial"/>
          <w:bCs/>
          <w:color w:val="000000"/>
          <w:sz w:val="20"/>
          <w:szCs w:val="20"/>
        </w:rPr>
      </w:pPr>
      <w:r>
        <w:rPr>
          <w:rFonts w:ascii="Arial" w:hAnsi="Arial" w:cs="Arial"/>
          <w:bCs/>
          <w:color w:val="000000"/>
          <w:sz w:val="20"/>
          <w:szCs w:val="20"/>
        </w:rPr>
        <w:t xml:space="preserve">Reference Link: </w:t>
      </w:r>
      <w:hyperlink r:id="rId30" w:history="1">
        <w:r w:rsidRPr="00735218">
          <w:rPr>
            <w:rStyle w:val="Hyperlink"/>
            <w:rFonts w:ascii="Arial" w:hAnsi="Arial" w:cs="Arial"/>
            <w:bCs/>
            <w:sz w:val="20"/>
            <w:szCs w:val="20"/>
          </w:rPr>
          <w:t>https://www.rbi.org.in/scripts/NotificationUser.aspx?Id=12360&amp;Mode=0</w:t>
        </w:r>
      </w:hyperlink>
    </w:p>
    <w:p w:rsidR="00BA0C06" w:rsidRDefault="00BA0C06" w:rsidP="00BA0C06">
      <w:pPr>
        <w:rPr>
          <w:rFonts w:ascii="Arial" w:hAnsi="Arial" w:cs="Arial"/>
          <w:bCs/>
          <w:color w:val="000000"/>
          <w:sz w:val="20"/>
          <w:szCs w:val="20"/>
        </w:rPr>
      </w:pPr>
    </w:p>
    <w:p w:rsidR="00BA0C06" w:rsidRDefault="00BA0C06" w:rsidP="00BA0C06">
      <w:pPr>
        <w:rPr>
          <w:rFonts w:ascii="Arial" w:hAnsi="Arial" w:cs="Arial"/>
          <w:bCs/>
          <w:color w:val="000000"/>
          <w:sz w:val="20"/>
          <w:szCs w:val="20"/>
        </w:rPr>
      </w:pPr>
    </w:p>
    <w:p w:rsidR="00BA0C06" w:rsidRDefault="00BA0C06" w:rsidP="00BA0C06">
      <w:pPr>
        <w:rPr>
          <w:rFonts w:ascii="Arial" w:hAnsi="Arial" w:cs="Arial"/>
          <w:bCs/>
          <w:color w:val="000000"/>
          <w:sz w:val="20"/>
          <w:szCs w:val="20"/>
        </w:rPr>
      </w:pPr>
    </w:p>
    <w:p w:rsidR="00BA0C06" w:rsidRDefault="00BA0C06" w:rsidP="00BA0C06">
      <w:pPr>
        <w:rPr>
          <w:rFonts w:ascii="Arial" w:hAnsi="Arial" w:cs="Arial"/>
          <w:bCs/>
          <w:color w:val="000000"/>
          <w:sz w:val="20"/>
          <w:szCs w:val="20"/>
        </w:rPr>
      </w:pPr>
    </w:p>
    <w:p w:rsidR="00BA0C06" w:rsidRDefault="00BA0C06" w:rsidP="00BA0C06">
      <w:pPr>
        <w:rPr>
          <w:rFonts w:ascii="Arial" w:hAnsi="Arial" w:cs="Arial"/>
          <w:bCs/>
          <w:color w:val="000000"/>
          <w:sz w:val="20"/>
          <w:szCs w:val="20"/>
        </w:rPr>
      </w:pPr>
    </w:p>
    <w:p w:rsidR="00BA0C06" w:rsidRDefault="00BA0C06" w:rsidP="00BA0C06">
      <w:pPr>
        <w:rPr>
          <w:rFonts w:ascii="Arial" w:hAnsi="Arial" w:cs="Arial"/>
          <w:bCs/>
          <w:color w:val="000000"/>
          <w:sz w:val="20"/>
          <w:szCs w:val="20"/>
        </w:rPr>
      </w:pPr>
    </w:p>
    <w:p w:rsidR="00BA0C06" w:rsidRDefault="00BA0C06" w:rsidP="00BA0C06">
      <w:pPr>
        <w:rPr>
          <w:rFonts w:ascii="Arial" w:hAnsi="Arial" w:cs="Arial"/>
          <w:bCs/>
          <w:color w:val="000000"/>
          <w:sz w:val="20"/>
          <w:szCs w:val="20"/>
        </w:rPr>
      </w:pPr>
    </w:p>
    <w:p w:rsidR="00BA0C06" w:rsidRDefault="00BA0C06" w:rsidP="00BA0C06">
      <w:pPr>
        <w:rPr>
          <w:rFonts w:ascii="Arial" w:hAnsi="Arial" w:cs="Arial"/>
          <w:bCs/>
          <w:color w:val="000000"/>
          <w:sz w:val="20"/>
          <w:szCs w:val="20"/>
        </w:rPr>
      </w:pPr>
    </w:p>
    <w:p w:rsidR="00BA0C06" w:rsidRDefault="00BA0C06" w:rsidP="00BA0C06">
      <w:pPr>
        <w:rPr>
          <w:rFonts w:ascii="Arial" w:hAnsi="Arial" w:cs="Arial"/>
          <w:bCs/>
          <w:color w:val="000000"/>
          <w:sz w:val="20"/>
          <w:szCs w:val="20"/>
        </w:rPr>
      </w:pPr>
    </w:p>
    <w:p w:rsidR="00BA0C06" w:rsidRDefault="00BA0C06" w:rsidP="00BA0C06">
      <w:pPr>
        <w:rPr>
          <w:rFonts w:ascii="Arial" w:hAnsi="Arial" w:cs="Arial"/>
          <w:bCs/>
          <w:color w:val="000000"/>
          <w:sz w:val="20"/>
          <w:szCs w:val="20"/>
        </w:rPr>
      </w:pPr>
    </w:p>
    <w:p w:rsidR="00BA0C06" w:rsidRDefault="00BA0C06" w:rsidP="00BA0C06">
      <w:pPr>
        <w:rPr>
          <w:rFonts w:ascii="Arial" w:hAnsi="Arial" w:cs="Arial"/>
          <w:bCs/>
          <w:color w:val="000000"/>
          <w:sz w:val="20"/>
          <w:szCs w:val="20"/>
        </w:rPr>
      </w:pPr>
    </w:p>
    <w:p w:rsidR="006458AB" w:rsidRDefault="006458AB" w:rsidP="00BA0C06">
      <w:pPr>
        <w:jc w:val="both"/>
        <w:rPr>
          <w:rFonts w:ascii="Arial" w:hAnsi="Arial" w:cs="Arial"/>
          <w:b/>
          <w:bCs/>
          <w:color w:val="000000"/>
          <w:sz w:val="20"/>
          <w:szCs w:val="20"/>
        </w:rPr>
      </w:pPr>
    </w:p>
    <w:p w:rsidR="00BA0C06" w:rsidRDefault="00BA0C06" w:rsidP="00BA0C06">
      <w:pPr>
        <w:rPr>
          <w:rFonts w:ascii="Arial" w:hAnsi="Arial" w:cs="Arial"/>
          <w:b/>
          <w:bCs/>
          <w:color w:val="000000"/>
          <w:sz w:val="20"/>
          <w:szCs w:val="20"/>
        </w:rPr>
      </w:pPr>
      <w:r>
        <w:rPr>
          <w:rFonts w:ascii="Arial" w:hAnsi="Arial" w:cs="Arial"/>
          <w:b/>
          <w:bCs/>
          <w:color w:val="000000"/>
          <w:sz w:val="20"/>
          <w:szCs w:val="20"/>
        </w:rPr>
        <w:lastRenderedPageBreak/>
        <w:t>Board approved Loan Policy – Management of Advances – UCBs</w:t>
      </w:r>
    </w:p>
    <w:p w:rsidR="00BA0C06" w:rsidRDefault="00BA0C06" w:rsidP="00BA0C06">
      <w:pPr>
        <w:pStyle w:val="NormalWeb"/>
        <w:jc w:val="both"/>
        <w:rPr>
          <w:rFonts w:ascii="Arial" w:hAnsi="Arial" w:cs="Arial"/>
          <w:color w:val="000000"/>
          <w:sz w:val="20"/>
          <w:szCs w:val="20"/>
        </w:rPr>
      </w:pPr>
      <w:r>
        <w:rPr>
          <w:rFonts w:ascii="Arial" w:hAnsi="Arial" w:cs="Arial"/>
          <w:color w:val="000000"/>
          <w:sz w:val="20"/>
          <w:szCs w:val="20"/>
        </w:rPr>
        <w:t>RBI/2022-23/93</w:t>
      </w:r>
      <w:r>
        <w:rPr>
          <w:rFonts w:ascii="Arial" w:hAnsi="Arial" w:cs="Arial"/>
          <w:color w:val="000000"/>
          <w:sz w:val="20"/>
          <w:szCs w:val="20"/>
        </w:rPr>
        <w:br/>
        <w:t>DOR.CRE.REC.56/13.05.000/2022-23</w:t>
      </w:r>
    </w:p>
    <w:p w:rsidR="00BA0C06" w:rsidRDefault="00BA0C06" w:rsidP="00BA0C06">
      <w:pPr>
        <w:pStyle w:val="NormalWeb"/>
        <w:jc w:val="right"/>
        <w:rPr>
          <w:rFonts w:ascii="Arial" w:hAnsi="Arial" w:cs="Arial"/>
          <w:color w:val="000000"/>
          <w:sz w:val="20"/>
          <w:szCs w:val="20"/>
        </w:rPr>
      </w:pPr>
      <w:r>
        <w:rPr>
          <w:rFonts w:ascii="Arial" w:hAnsi="Arial" w:cs="Arial"/>
          <w:color w:val="000000"/>
          <w:sz w:val="20"/>
          <w:szCs w:val="20"/>
        </w:rPr>
        <w:t>July 26, 2022</w:t>
      </w:r>
    </w:p>
    <w:p w:rsidR="00BA0C06" w:rsidRDefault="00BA0C06" w:rsidP="00BA0C06">
      <w:pPr>
        <w:pStyle w:val="NormalWeb"/>
        <w:jc w:val="both"/>
        <w:rPr>
          <w:rFonts w:ascii="Arial" w:hAnsi="Arial" w:cs="Arial"/>
          <w:color w:val="000000"/>
          <w:sz w:val="20"/>
          <w:szCs w:val="20"/>
        </w:rPr>
      </w:pPr>
      <w:r>
        <w:rPr>
          <w:rFonts w:ascii="Arial" w:hAnsi="Arial" w:cs="Arial"/>
          <w:color w:val="000000"/>
          <w:sz w:val="20"/>
          <w:szCs w:val="20"/>
        </w:rPr>
        <w:t>All Primary (Urban) Co-operative Banks</w:t>
      </w:r>
    </w:p>
    <w:p w:rsidR="00BA0C06" w:rsidRDefault="00BA0C06" w:rsidP="00BA0C06">
      <w:pPr>
        <w:pStyle w:val="NormalWeb"/>
        <w:jc w:val="both"/>
        <w:rPr>
          <w:rFonts w:ascii="Arial" w:hAnsi="Arial" w:cs="Arial"/>
          <w:color w:val="000000"/>
          <w:sz w:val="20"/>
          <w:szCs w:val="20"/>
        </w:rPr>
      </w:pPr>
      <w:r>
        <w:rPr>
          <w:rFonts w:ascii="Arial" w:hAnsi="Arial" w:cs="Arial"/>
          <w:color w:val="000000"/>
          <w:sz w:val="20"/>
          <w:szCs w:val="20"/>
        </w:rPr>
        <w:t>Madam / Dear Sir,</w:t>
      </w:r>
    </w:p>
    <w:p w:rsidR="00BA0C06" w:rsidRDefault="00BA0C06" w:rsidP="00BA0C06">
      <w:pPr>
        <w:pStyle w:val="head"/>
        <w:jc w:val="both"/>
        <w:rPr>
          <w:rFonts w:ascii="Arial" w:hAnsi="Arial" w:cs="Arial"/>
          <w:b/>
          <w:bCs/>
          <w:color w:val="000000"/>
          <w:sz w:val="20"/>
          <w:szCs w:val="20"/>
        </w:rPr>
      </w:pPr>
      <w:r>
        <w:rPr>
          <w:rFonts w:ascii="Arial" w:hAnsi="Arial" w:cs="Arial"/>
          <w:b/>
          <w:bCs/>
          <w:color w:val="000000"/>
          <w:sz w:val="20"/>
          <w:szCs w:val="20"/>
        </w:rPr>
        <w:t>Board approved Loan Policy – Management of Advances - UCBs</w:t>
      </w:r>
    </w:p>
    <w:p w:rsidR="00BA0C06" w:rsidRDefault="00BA0C06" w:rsidP="00BA0C06">
      <w:pPr>
        <w:pStyle w:val="NormalWeb"/>
        <w:jc w:val="both"/>
        <w:rPr>
          <w:rFonts w:ascii="Arial" w:hAnsi="Arial" w:cs="Arial"/>
          <w:color w:val="000000"/>
          <w:sz w:val="20"/>
          <w:szCs w:val="20"/>
        </w:rPr>
      </w:pPr>
      <w:r>
        <w:rPr>
          <w:rFonts w:ascii="Arial" w:hAnsi="Arial" w:cs="Arial"/>
          <w:color w:val="000000"/>
          <w:sz w:val="20"/>
          <w:szCs w:val="20"/>
        </w:rPr>
        <w:t>Please refer to para 1 of the </w:t>
      </w:r>
      <w:hyperlink r:id="rId31" w:tgtFrame="_blank" w:history="1">
        <w:r>
          <w:rPr>
            <w:rStyle w:val="Hyperlink"/>
            <w:rFonts w:ascii="Arial" w:hAnsi="Arial" w:cs="Arial"/>
            <w:sz w:val="20"/>
            <w:szCs w:val="20"/>
          </w:rPr>
          <w:t>Master Circular DOR.CRE.REC.No.17/13.05.000/2022-23 dated April 8, 2022</w:t>
        </w:r>
      </w:hyperlink>
      <w:r>
        <w:rPr>
          <w:rFonts w:ascii="Arial" w:hAnsi="Arial" w:cs="Arial"/>
          <w:color w:val="000000"/>
          <w:sz w:val="20"/>
          <w:szCs w:val="20"/>
        </w:rPr>
        <w:t> on Management of Advances – UCBs in terms of which, UCBs are required to lay down, with the approval of their boards, transparent policies and guidelines for credit dispensation, in respect of each broad category of economic activity, keeping in view the credit exposure norms and various other guidelines issued by Reserve Bank from time to time.</w:t>
      </w:r>
    </w:p>
    <w:p w:rsidR="00BA0C06" w:rsidRDefault="00BA0C06" w:rsidP="00BA0C06">
      <w:pPr>
        <w:pStyle w:val="NormalWeb"/>
        <w:jc w:val="both"/>
        <w:rPr>
          <w:rFonts w:ascii="Arial" w:hAnsi="Arial" w:cs="Arial"/>
          <w:color w:val="000000"/>
          <w:sz w:val="20"/>
          <w:szCs w:val="20"/>
        </w:rPr>
      </w:pPr>
      <w:r>
        <w:rPr>
          <w:rFonts w:ascii="Arial" w:hAnsi="Arial" w:cs="Arial"/>
          <w:color w:val="000000"/>
          <w:sz w:val="20"/>
          <w:szCs w:val="20"/>
        </w:rPr>
        <w:t>2. It has been observed in several UCBs that these policies not only lack comprehensive coverage, but also do not require a periodic review. In order to ensure that the loan policy reflects approved internal risk appetite and remains in alignment with the extant regulations, it is advised that the loan policy of the bank shall be reviewed by the Board at least once in a financial year.</w:t>
      </w:r>
    </w:p>
    <w:p w:rsidR="00BA0C06" w:rsidRDefault="00BA0C06" w:rsidP="00BA0C06">
      <w:pPr>
        <w:pStyle w:val="NormalWeb"/>
        <w:jc w:val="both"/>
        <w:rPr>
          <w:rFonts w:ascii="Arial" w:hAnsi="Arial" w:cs="Arial"/>
          <w:color w:val="000000"/>
          <w:sz w:val="20"/>
          <w:szCs w:val="20"/>
        </w:rPr>
      </w:pPr>
      <w:r>
        <w:rPr>
          <w:rFonts w:ascii="Arial" w:hAnsi="Arial" w:cs="Arial"/>
          <w:color w:val="000000"/>
          <w:sz w:val="20"/>
          <w:szCs w:val="20"/>
        </w:rPr>
        <w:t>3. The above instructions will come into effect immediately.</w:t>
      </w:r>
    </w:p>
    <w:p w:rsidR="00BA0C06" w:rsidRDefault="00BA0C06" w:rsidP="00BA0C06">
      <w:pPr>
        <w:pStyle w:val="NormalWeb"/>
        <w:jc w:val="both"/>
        <w:rPr>
          <w:rFonts w:ascii="Arial" w:hAnsi="Arial" w:cs="Arial"/>
          <w:color w:val="000000"/>
          <w:sz w:val="20"/>
          <w:szCs w:val="20"/>
        </w:rPr>
      </w:pPr>
      <w:r>
        <w:rPr>
          <w:rFonts w:ascii="Arial" w:hAnsi="Arial" w:cs="Arial"/>
          <w:color w:val="000000"/>
          <w:sz w:val="20"/>
          <w:szCs w:val="20"/>
        </w:rPr>
        <w:t>Yours faithfully,</w:t>
      </w:r>
    </w:p>
    <w:p w:rsidR="00BA0C06" w:rsidRDefault="00BA0C06" w:rsidP="00BA0C06">
      <w:pPr>
        <w:pStyle w:val="NormalWeb"/>
        <w:rPr>
          <w:rFonts w:ascii="Arial" w:hAnsi="Arial" w:cs="Arial"/>
          <w:color w:val="000000"/>
          <w:sz w:val="20"/>
          <w:szCs w:val="20"/>
        </w:rPr>
      </w:pPr>
      <w:r>
        <w:rPr>
          <w:rFonts w:ascii="Arial" w:hAnsi="Arial" w:cs="Arial"/>
          <w:color w:val="000000"/>
          <w:sz w:val="20"/>
          <w:szCs w:val="20"/>
        </w:rPr>
        <w:t>(</w:t>
      </w:r>
      <w:proofErr w:type="spellStart"/>
      <w:r>
        <w:rPr>
          <w:rFonts w:ascii="Arial" w:hAnsi="Arial" w:cs="Arial"/>
          <w:color w:val="000000"/>
          <w:sz w:val="20"/>
          <w:szCs w:val="20"/>
        </w:rPr>
        <w:t>Manoranjan</w:t>
      </w:r>
      <w:proofErr w:type="spellEnd"/>
      <w:r>
        <w:rPr>
          <w:rFonts w:ascii="Arial" w:hAnsi="Arial" w:cs="Arial"/>
          <w:color w:val="000000"/>
          <w:sz w:val="20"/>
          <w:szCs w:val="20"/>
        </w:rPr>
        <w:t xml:space="preserve"> Mishra)</w:t>
      </w:r>
      <w:r>
        <w:rPr>
          <w:rFonts w:ascii="Arial" w:hAnsi="Arial" w:cs="Arial"/>
          <w:color w:val="000000"/>
          <w:sz w:val="20"/>
          <w:szCs w:val="20"/>
        </w:rPr>
        <w:br/>
        <w:t>Chief General Manager</w:t>
      </w:r>
    </w:p>
    <w:p w:rsidR="00BA0C06" w:rsidRDefault="00BA0C06" w:rsidP="00BA0C06">
      <w:pPr>
        <w:rPr>
          <w:rFonts w:ascii="Arial" w:hAnsi="Arial" w:cs="Arial"/>
          <w:sz w:val="20"/>
          <w:szCs w:val="20"/>
        </w:rPr>
      </w:pPr>
    </w:p>
    <w:p w:rsidR="00BA0C06" w:rsidRDefault="00BA0C06" w:rsidP="00BA0C06">
      <w:pPr>
        <w:rPr>
          <w:rFonts w:ascii="Arial" w:hAnsi="Arial" w:cs="Arial"/>
          <w:sz w:val="20"/>
          <w:szCs w:val="20"/>
        </w:rPr>
      </w:pPr>
    </w:p>
    <w:p w:rsidR="00BA0C06" w:rsidRDefault="00BA0C06" w:rsidP="00BA0C06">
      <w:pPr>
        <w:rPr>
          <w:rFonts w:ascii="Arial" w:hAnsi="Arial" w:cs="Arial"/>
          <w:sz w:val="20"/>
          <w:szCs w:val="20"/>
        </w:rPr>
      </w:pPr>
    </w:p>
    <w:p w:rsidR="00BA0C06" w:rsidRDefault="00BA0C06" w:rsidP="00BA0C06">
      <w:r>
        <w:t>More details can be referred to in the below link.</w:t>
      </w:r>
    </w:p>
    <w:p w:rsidR="00BA0C06" w:rsidRDefault="00BA0C06" w:rsidP="00BA0C06">
      <w:pPr>
        <w:rPr>
          <w:rFonts w:ascii="Arial" w:hAnsi="Arial" w:cs="Arial"/>
          <w:bCs/>
          <w:color w:val="000000"/>
          <w:sz w:val="20"/>
          <w:szCs w:val="20"/>
        </w:rPr>
      </w:pPr>
      <w:r>
        <w:rPr>
          <w:rFonts w:ascii="Arial" w:hAnsi="Arial" w:cs="Arial"/>
          <w:bCs/>
          <w:color w:val="000000"/>
          <w:sz w:val="20"/>
          <w:szCs w:val="20"/>
        </w:rPr>
        <w:t xml:space="preserve">Reference Link: </w:t>
      </w:r>
      <w:hyperlink r:id="rId32" w:history="1">
        <w:r w:rsidRPr="00735218">
          <w:rPr>
            <w:rStyle w:val="Hyperlink"/>
            <w:rFonts w:ascii="Arial" w:hAnsi="Arial" w:cs="Arial"/>
            <w:bCs/>
            <w:sz w:val="20"/>
            <w:szCs w:val="20"/>
          </w:rPr>
          <w:t>https://www.rbi.org.in/scripts/NotificationUser.aspx?Id=12361&amp;Mode=0</w:t>
        </w:r>
      </w:hyperlink>
    </w:p>
    <w:p w:rsidR="00BA0C06" w:rsidRDefault="00BA0C06" w:rsidP="00BA0C06">
      <w:pPr>
        <w:jc w:val="both"/>
        <w:rPr>
          <w:rFonts w:ascii="Arial" w:hAnsi="Arial" w:cs="Arial"/>
          <w:b/>
          <w:bCs/>
          <w:color w:val="000000"/>
          <w:sz w:val="20"/>
          <w:szCs w:val="20"/>
        </w:rPr>
      </w:pPr>
    </w:p>
    <w:p w:rsidR="00BA0C06" w:rsidRDefault="00BA0C06" w:rsidP="00BA0C06">
      <w:pPr>
        <w:jc w:val="both"/>
        <w:rPr>
          <w:rFonts w:ascii="Arial" w:hAnsi="Arial" w:cs="Arial"/>
          <w:b/>
          <w:bCs/>
          <w:color w:val="000000"/>
          <w:sz w:val="20"/>
          <w:szCs w:val="20"/>
        </w:rPr>
      </w:pPr>
    </w:p>
    <w:p w:rsidR="00BA0C06" w:rsidRDefault="00BA0C06" w:rsidP="00BA0C06">
      <w:pPr>
        <w:jc w:val="both"/>
        <w:rPr>
          <w:rFonts w:ascii="Arial" w:hAnsi="Arial" w:cs="Arial"/>
          <w:b/>
          <w:bCs/>
          <w:color w:val="000000"/>
          <w:sz w:val="20"/>
          <w:szCs w:val="20"/>
        </w:rPr>
      </w:pPr>
    </w:p>
    <w:p w:rsidR="00BA0C06" w:rsidRDefault="00BA0C06" w:rsidP="00BA0C06">
      <w:pPr>
        <w:jc w:val="both"/>
        <w:rPr>
          <w:rFonts w:ascii="Arial" w:hAnsi="Arial" w:cs="Arial"/>
          <w:b/>
          <w:bCs/>
          <w:color w:val="000000"/>
          <w:sz w:val="20"/>
          <w:szCs w:val="20"/>
        </w:rPr>
      </w:pPr>
    </w:p>
    <w:p w:rsidR="00BA0C06" w:rsidRDefault="00BA0C06" w:rsidP="00BA0C06">
      <w:pPr>
        <w:jc w:val="both"/>
        <w:rPr>
          <w:rFonts w:ascii="Arial" w:hAnsi="Arial" w:cs="Arial"/>
          <w:b/>
          <w:bCs/>
          <w:color w:val="000000"/>
          <w:sz w:val="20"/>
          <w:szCs w:val="20"/>
        </w:rPr>
      </w:pPr>
    </w:p>
    <w:p w:rsidR="00BA0C06" w:rsidRDefault="00BA0C06" w:rsidP="00BA0C06">
      <w:pPr>
        <w:jc w:val="both"/>
        <w:rPr>
          <w:rFonts w:ascii="Arial" w:hAnsi="Arial" w:cs="Arial"/>
          <w:b/>
          <w:bCs/>
          <w:color w:val="000000"/>
          <w:sz w:val="20"/>
          <w:szCs w:val="20"/>
        </w:rPr>
      </w:pPr>
    </w:p>
    <w:p w:rsidR="00BA0C06" w:rsidRDefault="00BA0C06" w:rsidP="00BA0C06">
      <w:pPr>
        <w:jc w:val="both"/>
        <w:rPr>
          <w:rFonts w:ascii="Arial" w:hAnsi="Arial" w:cs="Arial"/>
          <w:b/>
          <w:bCs/>
          <w:color w:val="000000"/>
          <w:sz w:val="20"/>
          <w:szCs w:val="20"/>
        </w:rPr>
      </w:pPr>
    </w:p>
    <w:p w:rsidR="00BA0C06" w:rsidRDefault="00BA0C06" w:rsidP="00BA0C06">
      <w:pPr>
        <w:jc w:val="both"/>
        <w:rPr>
          <w:rFonts w:ascii="Arial" w:hAnsi="Arial" w:cs="Arial"/>
          <w:b/>
          <w:bCs/>
          <w:color w:val="000000"/>
          <w:sz w:val="20"/>
          <w:szCs w:val="20"/>
        </w:rPr>
      </w:pPr>
    </w:p>
    <w:p w:rsidR="00BA0C06" w:rsidRDefault="00BA0C06" w:rsidP="00BA0C06">
      <w:pPr>
        <w:jc w:val="both"/>
        <w:rPr>
          <w:rFonts w:ascii="Arial" w:hAnsi="Arial" w:cs="Arial"/>
          <w:b/>
          <w:bCs/>
          <w:color w:val="000000"/>
          <w:sz w:val="20"/>
          <w:szCs w:val="20"/>
        </w:rPr>
      </w:pPr>
    </w:p>
    <w:p w:rsidR="00BA0C06" w:rsidRDefault="00BA0C06" w:rsidP="00BA0C06">
      <w:pPr>
        <w:jc w:val="both"/>
        <w:rPr>
          <w:rFonts w:ascii="Arial" w:hAnsi="Arial" w:cs="Arial"/>
          <w:b/>
          <w:bCs/>
          <w:color w:val="000000"/>
          <w:sz w:val="20"/>
          <w:szCs w:val="20"/>
        </w:rPr>
      </w:pPr>
    </w:p>
    <w:p w:rsidR="00BA0C06" w:rsidRDefault="00BA0C06" w:rsidP="00BA0C06">
      <w:pPr>
        <w:rPr>
          <w:rFonts w:ascii="Arial" w:hAnsi="Arial" w:cs="Arial"/>
          <w:b/>
          <w:bCs/>
          <w:color w:val="000000"/>
          <w:sz w:val="20"/>
          <w:szCs w:val="20"/>
        </w:rPr>
      </w:pPr>
      <w:r>
        <w:rPr>
          <w:rFonts w:ascii="Arial" w:hAnsi="Arial" w:cs="Arial"/>
          <w:b/>
          <w:bCs/>
          <w:color w:val="000000"/>
          <w:sz w:val="20"/>
          <w:szCs w:val="20"/>
        </w:rPr>
        <w:lastRenderedPageBreak/>
        <w:t>Restriction on Storage of Actual Card Data [i.e. Card-</w:t>
      </w:r>
      <w:proofErr w:type="gramStart"/>
      <w:r>
        <w:rPr>
          <w:rFonts w:ascii="Arial" w:hAnsi="Arial" w:cs="Arial"/>
          <w:b/>
          <w:bCs/>
          <w:color w:val="000000"/>
          <w:sz w:val="20"/>
          <w:szCs w:val="20"/>
        </w:rPr>
        <w:t>on</w:t>
      </w:r>
      <w:proofErr w:type="gramEnd"/>
      <w:r>
        <w:rPr>
          <w:rFonts w:ascii="Arial" w:hAnsi="Arial" w:cs="Arial"/>
          <w:b/>
          <w:bCs/>
          <w:color w:val="000000"/>
          <w:sz w:val="20"/>
          <w:szCs w:val="20"/>
        </w:rPr>
        <w:t>-File (</w:t>
      </w:r>
      <w:proofErr w:type="spellStart"/>
      <w:r>
        <w:rPr>
          <w:rFonts w:ascii="Arial" w:hAnsi="Arial" w:cs="Arial"/>
          <w:b/>
          <w:bCs/>
          <w:color w:val="000000"/>
          <w:sz w:val="20"/>
          <w:szCs w:val="20"/>
        </w:rPr>
        <w:t>CoF</w:t>
      </w:r>
      <w:proofErr w:type="spellEnd"/>
      <w:r>
        <w:rPr>
          <w:rFonts w:ascii="Arial" w:hAnsi="Arial" w:cs="Arial"/>
          <w:b/>
          <w:bCs/>
          <w:color w:val="000000"/>
          <w:sz w:val="20"/>
          <w:szCs w:val="20"/>
        </w:rPr>
        <w:t>)]</w:t>
      </w:r>
    </w:p>
    <w:p w:rsidR="00BA0C06" w:rsidRDefault="00BA0C06" w:rsidP="00BA0C06">
      <w:pPr>
        <w:pStyle w:val="NormalWeb"/>
        <w:rPr>
          <w:rFonts w:ascii="Arial" w:hAnsi="Arial" w:cs="Arial"/>
          <w:color w:val="000000"/>
          <w:sz w:val="20"/>
          <w:szCs w:val="20"/>
        </w:rPr>
      </w:pPr>
      <w:r>
        <w:rPr>
          <w:rFonts w:ascii="Arial" w:hAnsi="Arial" w:cs="Arial"/>
          <w:color w:val="000000"/>
          <w:sz w:val="20"/>
          <w:szCs w:val="20"/>
        </w:rPr>
        <w:t>RBI/2022-2023/95</w:t>
      </w:r>
      <w:r>
        <w:rPr>
          <w:rFonts w:ascii="Arial" w:hAnsi="Arial" w:cs="Arial"/>
          <w:color w:val="000000"/>
          <w:sz w:val="20"/>
          <w:szCs w:val="20"/>
        </w:rPr>
        <w:br/>
        <w:t>CO.DPSS.POLC.No.S-760/02-14-003/2022-23</w:t>
      </w:r>
    </w:p>
    <w:p w:rsidR="00BA0C06" w:rsidRDefault="00BA0C06" w:rsidP="00BA0C06">
      <w:pPr>
        <w:pStyle w:val="NormalWeb"/>
        <w:jc w:val="right"/>
        <w:rPr>
          <w:rFonts w:ascii="Arial" w:hAnsi="Arial" w:cs="Arial"/>
          <w:color w:val="000000"/>
          <w:sz w:val="20"/>
          <w:szCs w:val="20"/>
        </w:rPr>
      </w:pPr>
      <w:r>
        <w:rPr>
          <w:rFonts w:ascii="Arial" w:hAnsi="Arial" w:cs="Arial"/>
          <w:color w:val="000000"/>
          <w:sz w:val="20"/>
          <w:szCs w:val="20"/>
        </w:rPr>
        <w:t>July 28, 2022</w:t>
      </w:r>
    </w:p>
    <w:p w:rsidR="00BA0C06" w:rsidRDefault="00BA0C06" w:rsidP="00BA0C06">
      <w:pPr>
        <w:pStyle w:val="NormalWeb"/>
        <w:rPr>
          <w:rFonts w:ascii="Arial" w:hAnsi="Arial" w:cs="Arial"/>
          <w:color w:val="000000"/>
          <w:sz w:val="20"/>
          <w:szCs w:val="20"/>
        </w:rPr>
      </w:pPr>
      <w:r>
        <w:rPr>
          <w:rFonts w:ascii="Arial" w:hAnsi="Arial" w:cs="Arial"/>
          <w:color w:val="000000"/>
          <w:sz w:val="20"/>
          <w:szCs w:val="20"/>
        </w:rPr>
        <w:t>All Payment System Providers and Payment System Participants</w:t>
      </w:r>
    </w:p>
    <w:p w:rsidR="00BA0C06" w:rsidRDefault="00BA0C06" w:rsidP="00BA0C06">
      <w:pPr>
        <w:pStyle w:val="NormalWeb"/>
        <w:rPr>
          <w:rFonts w:ascii="Arial" w:hAnsi="Arial" w:cs="Arial"/>
          <w:color w:val="000000"/>
          <w:sz w:val="20"/>
          <w:szCs w:val="20"/>
        </w:rPr>
      </w:pPr>
      <w:r>
        <w:rPr>
          <w:rFonts w:ascii="Arial" w:hAnsi="Arial" w:cs="Arial"/>
          <w:color w:val="000000"/>
          <w:sz w:val="20"/>
          <w:szCs w:val="20"/>
        </w:rPr>
        <w:t>Madam / Dear Sir,</w:t>
      </w:r>
    </w:p>
    <w:p w:rsidR="00BA0C06" w:rsidRDefault="00BA0C06" w:rsidP="00BA0C06">
      <w:pPr>
        <w:pStyle w:val="head"/>
        <w:rPr>
          <w:rFonts w:ascii="Arial" w:hAnsi="Arial" w:cs="Arial"/>
          <w:b/>
          <w:bCs/>
          <w:color w:val="000000"/>
          <w:sz w:val="20"/>
          <w:szCs w:val="20"/>
        </w:rPr>
      </w:pPr>
      <w:r>
        <w:rPr>
          <w:rFonts w:ascii="Arial" w:hAnsi="Arial" w:cs="Arial"/>
          <w:b/>
          <w:bCs/>
          <w:color w:val="000000"/>
          <w:sz w:val="20"/>
          <w:szCs w:val="20"/>
        </w:rPr>
        <w:t>Restriction on Storage of Actual Card Data [i.e. Card-</w:t>
      </w:r>
      <w:proofErr w:type="gramStart"/>
      <w:r>
        <w:rPr>
          <w:rFonts w:ascii="Arial" w:hAnsi="Arial" w:cs="Arial"/>
          <w:b/>
          <w:bCs/>
          <w:color w:val="000000"/>
          <w:sz w:val="20"/>
          <w:szCs w:val="20"/>
        </w:rPr>
        <w:t>on</w:t>
      </w:r>
      <w:proofErr w:type="gramEnd"/>
      <w:r>
        <w:rPr>
          <w:rFonts w:ascii="Arial" w:hAnsi="Arial" w:cs="Arial"/>
          <w:b/>
          <w:bCs/>
          <w:color w:val="000000"/>
          <w:sz w:val="20"/>
          <w:szCs w:val="20"/>
        </w:rPr>
        <w:t>-File (</w:t>
      </w:r>
      <w:proofErr w:type="spellStart"/>
      <w:r>
        <w:rPr>
          <w:rFonts w:ascii="Arial" w:hAnsi="Arial" w:cs="Arial"/>
          <w:b/>
          <w:bCs/>
          <w:color w:val="000000"/>
          <w:sz w:val="20"/>
          <w:szCs w:val="20"/>
        </w:rPr>
        <w:t>CoF</w:t>
      </w:r>
      <w:proofErr w:type="spellEnd"/>
      <w:r>
        <w:rPr>
          <w:rFonts w:ascii="Arial" w:hAnsi="Arial" w:cs="Arial"/>
          <w:b/>
          <w:bCs/>
          <w:color w:val="000000"/>
          <w:sz w:val="20"/>
          <w:szCs w:val="20"/>
        </w:rPr>
        <w:t>)]</w:t>
      </w:r>
    </w:p>
    <w:p w:rsidR="00BA0C06" w:rsidRDefault="00BA0C06" w:rsidP="00BA0C06">
      <w:pPr>
        <w:pStyle w:val="NormalWeb"/>
        <w:rPr>
          <w:rFonts w:ascii="Arial" w:hAnsi="Arial" w:cs="Arial"/>
          <w:color w:val="000000"/>
          <w:sz w:val="20"/>
          <w:szCs w:val="20"/>
        </w:rPr>
      </w:pPr>
      <w:r>
        <w:rPr>
          <w:rFonts w:ascii="Arial" w:hAnsi="Arial" w:cs="Arial"/>
          <w:color w:val="000000"/>
          <w:sz w:val="20"/>
          <w:szCs w:val="20"/>
        </w:rPr>
        <w:t>Reference is invited to </w:t>
      </w:r>
      <w:hyperlink r:id="rId33" w:tgtFrame="_blank" w:history="1">
        <w:r>
          <w:rPr>
            <w:rStyle w:val="Hyperlink"/>
            <w:rFonts w:ascii="Arial" w:hAnsi="Arial" w:cs="Arial"/>
            <w:sz w:val="20"/>
            <w:szCs w:val="20"/>
          </w:rPr>
          <w:t>Reserve Bank of India (RBI) circulars DPSS.CO.PD.No.1810/02.14.008/2019-20 dated March 17, 2020</w:t>
        </w:r>
      </w:hyperlink>
      <w:r>
        <w:rPr>
          <w:rFonts w:ascii="Arial" w:hAnsi="Arial" w:cs="Arial"/>
          <w:color w:val="000000"/>
          <w:sz w:val="20"/>
          <w:szCs w:val="20"/>
        </w:rPr>
        <w:t> and </w:t>
      </w:r>
      <w:hyperlink r:id="rId34" w:tgtFrame="_blank" w:history="1">
        <w:r>
          <w:rPr>
            <w:rStyle w:val="Hyperlink"/>
            <w:rFonts w:ascii="Arial" w:hAnsi="Arial" w:cs="Arial"/>
            <w:sz w:val="20"/>
            <w:szCs w:val="20"/>
          </w:rPr>
          <w:t>CO.DPSS.POLC.No.S33/02-14-008/2020-2021 dated March 31, 2021</w:t>
        </w:r>
      </w:hyperlink>
      <w:r>
        <w:rPr>
          <w:rFonts w:ascii="Arial" w:hAnsi="Arial" w:cs="Arial"/>
          <w:color w:val="000000"/>
          <w:sz w:val="20"/>
          <w:szCs w:val="20"/>
        </w:rPr>
        <w:t> on “Guidelines on Regulation of Payment Aggregators and Payment Gateways”, </w:t>
      </w:r>
      <w:hyperlink r:id="rId35" w:tgtFrame="_blank" w:history="1">
        <w:r>
          <w:rPr>
            <w:rStyle w:val="Hyperlink"/>
            <w:rFonts w:ascii="Arial" w:hAnsi="Arial" w:cs="Arial"/>
            <w:sz w:val="20"/>
            <w:szCs w:val="20"/>
          </w:rPr>
          <w:t>circular CO.DPSS.POLC.No.S-516/02-14-003/2021-22 dated September 07, 2021</w:t>
        </w:r>
      </w:hyperlink>
      <w:r>
        <w:rPr>
          <w:rFonts w:ascii="Arial" w:hAnsi="Arial" w:cs="Arial"/>
          <w:color w:val="000000"/>
          <w:sz w:val="20"/>
          <w:szCs w:val="20"/>
        </w:rPr>
        <w:t> on “Tokenisation – Card Transactions: Permitting Card-on-File Tokenisation (</w:t>
      </w:r>
      <w:proofErr w:type="spellStart"/>
      <w:r>
        <w:rPr>
          <w:rFonts w:ascii="Arial" w:hAnsi="Arial" w:cs="Arial"/>
          <w:color w:val="000000"/>
          <w:sz w:val="20"/>
          <w:szCs w:val="20"/>
        </w:rPr>
        <w:t>CoFT</w:t>
      </w:r>
      <w:proofErr w:type="spellEnd"/>
      <w:r>
        <w:rPr>
          <w:rFonts w:ascii="Arial" w:hAnsi="Arial" w:cs="Arial"/>
          <w:color w:val="000000"/>
          <w:sz w:val="20"/>
          <w:szCs w:val="20"/>
        </w:rPr>
        <w:t>) Services” and, </w:t>
      </w:r>
      <w:hyperlink r:id="rId36" w:tgtFrame="_blank" w:history="1">
        <w:r>
          <w:rPr>
            <w:rStyle w:val="Hyperlink"/>
            <w:rFonts w:ascii="Arial" w:hAnsi="Arial" w:cs="Arial"/>
            <w:sz w:val="20"/>
            <w:szCs w:val="20"/>
          </w:rPr>
          <w:t>circulars CO.DPSS.POLC.No.S-1211/02-14-003/2021-22 dated December 23, 2021</w:t>
        </w:r>
      </w:hyperlink>
      <w:r>
        <w:rPr>
          <w:rFonts w:ascii="Arial" w:hAnsi="Arial" w:cs="Arial"/>
          <w:color w:val="000000"/>
          <w:sz w:val="20"/>
          <w:szCs w:val="20"/>
        </w:rPr>
        <w:t> and </w:t>
      </w:r>
      <w:hyperlink r:id="rId37" w:tgtFrame="_blank" w:history="1">
        <w:r>
          <w:rPr>
            <w:rStyle w:val="Hyperlink"/>
            <w:rFonts w:ascii="Arial" w:hAnsi="Arial" w:cs="Arial"/>
            <w:sz w:val="20"/>
            <w:szCs w:val="20"/>
          </w:rPr>
          <w:t>CO.DPSS.POLC.No.S-567/02-14-003/2022-23 dated June 24, 2022</w:t>
        </w:r>
      </w:hyperlink>
      <w:r>
        <w:rPr>
          <w:rFonts w:ascii="Arial" w:hAnsi="Arial" w:cs="Arial"/>
          <w:color w:val="000000"/>
          <w:sz w:val="20"/>
          <w:szCs w:val="20"/>
        </w:rPr>
        <w:t> on “Restriction on Storage of Actual Card Data [i.e. Card-on-File (</w:t>
      </w:r>
      <w:proofErr w:type="spellStart"/>
      <w:r>
        <w:rPr>
          <w:rFonts w:ascii="Arial" w:hAnsi="Arial" w:cs="Arial"/>
          <w:color w:val="000000"/>
          <w:sz w:val="20"/>
          <w:szCs w:val="20"/>
        </w:rPr>
        <w:t>CoF</w:t>
      </w:r>
      <w:proofErr w:type="spellEnd"/>
      <w:r>
        <w:rPr>
          <w:rFonts w:ascii="Arial" w:hAnsi="Arial" w:cs="Arial"/>
          <w:color w:val="000000"/>
          <w:sz w:val="20"/>
          <w:szCs w:val="20"/>
        </w:rPr>
        <w:t>)]”.</w:t>
      </w:r>
    </w:p>
    <w:p w:rsidR="00BA0C06" w:rsidRDefault="00BA0C06" w:rsidP="00BA0C06">
      <w:pPr>
        <w:pStyle w:val="NormalWeb"/>
        <w:rPr>
          <w:rFonts w:ascii="Arial" w:hAnsi="Arial" w:cs="Arial"/>
          <w:color w:val="000000"/>
          <w:sz w:val="20"/>
          <w:szCs w:val="20"/>
        </w:rPr>
      </w:pPr>
      <w:r>
        <w:rPr>
          <w:rFonts w:ascii="Arial" w:hAnsi="Arial" w:cs="Arial"/>
          <w:color w:val="000000"/>
          <w:sz w:val="20"/>
          <w:szCs w:val="20"/>
        </w:rPr>
        <w:t xml:space="preserve">2. In terms of the above circulars, with effect from October 1, 2022, no entity in the card transaction / payment chain, other than the card issuers and / or card networks, shall store </w:t>
      </w:r>
      <w:proofErr w:type="spellStart"/>
      <w:r>
        <w:rPr>
          <w:rFonts w:ascii="Arial" w:hAnsi="Arial" w:cs="Arial"/>
          <w:color w:val="000000"/>
          <w:sz w:val="20"/>
          <w:szCs w:val="20"/>
        </w:rPr>
        <w:t>CoF</w:t>
      </w:r>
      <w:proofErr w:type="spellEnd"/>
      <w:r>
        <w:rPr>
          <w:rFonts w:ascii="Arial" w:hAnsi="Arial" w:cs="Arial"/>
          <w:color w:val="000000"/>
          <w:sz w:val="20"/>
          <w:szCs w:val="20"/>
        </w:rPr>
        <w:t xml:space="preserve"> data, and any such data stored previously shall be purged.</w:t>
      </w:r>
    </w:p>
    <w:p w:rsidR="00BA0C06" w:rsidRDefault="00BA0C06" w:rsidP="00BA0C06">
      <w:pPr>
        <w:pStyle w:val="NormalWeb"/>
        <w:spacing w:after="0" w:afterAutospacing="0"/>
        <w:rPr>
          <w:rFonts w:ascii="Arial" w:hAnsi="Arial" w:cs="Arial"/>
          <w:color w:val="000000"/>
          <w:sz w:val="20"/>
          <w:szCs w:val="20"/>
        </w:rPr>
      </w:pPr>
      <w:r>
        <w:rPr>
          <w:rFonts w:ascii="Arial" w:hAnsi="Arial" w:cs="Arial"/>
          <w:color w:val="000000"/>
          <w:sz w:val="20"/>
          <w:szCs w:val="20"/>
        </w:rPr>
        <w:t>3. On a review of the issues involved and after detailed discussions thereon with all stakeholders, as also keeping in view that sufficient time has elapsed since the requirements were specified, the following are advised –</w:t>
      </w:r>
    </w:p>
    <w:p w:rsidR="00BA0C06" w:rsidRDefault="00BA0C06" w:rsidP="00BA0C06">
      <w:pPr>
        <w:pStyle w:val="NormalWeb"/>
        <w:spacing w:before="0" w:beforeAutospacing="0" w:after="0" w:afterAutospacing="0"/>
        <w:rPr>
          <w:rFonts w:ascii="Arial" w:hAnsi="Arial" w:cs="Arial"/>
          <w:color w:val="000000"/>
          <w:sz w:val="20"/>
          <w:szCs w:val="20"/>
        </w:rPr>
      </w:pPr>
      <w:r>
        <w:rPr>
          <w:rFonts w:ascii="Arial" w:hAnsi="Arial" w:cs="Arial"/>
          <w:color w:val="000000"/>
          <w:sz w:val="20"/>
          <w:szCs w:val="20"/>
        </w:rPr>
        <w:t xml:space="preserve">a) There shall be no change in the effective date of implementation of the requirements – all entities, except card issuers and card networks, shall purge the </w:t>
      </w:r>
      <w:proofErr w:type="spellStart"/>
      <w:r>
        <w:rPr>
          <w:rFonts w:ascii="Arial" w:hAnsi="Arial" w:cs="Arial"/>
          <w:color w:val="000000"/>
          <w:sz w:val="20"/>
          <w:szCs w:val="20"/>
        </w:rPr>
        <w:t>CoF</w:t>
      </w:r>
      <w:proofErr w:type="spellEnd"/>
      <w:r>
        <w:rPr>
          <w:rFonts w:ascii="Arial" w:hAnsi="Arial" w:cs="Arial"/>
          <w:color w:val="000000"/>
          <w:sz w:val="20"/>
          <w:szCs w:val="20"/>
        </w:rPr>
        <w:t xml:space="preserve"> data before October 1, 2022.</w:t>
      </w:r>
    </w:p>
    <w:p w:rsidR="00BA0C06" w:rsidRDefault="00BA0C06" w:rsidP="00BA0C06">
      <w:pPr>
        <w:pStyle w:val="NormalWeb"/>
        <w:spacing w:before="0" w:beforeAutospacing="0"/>
        <w:rPr>
          <w:rFonts w:ascii="Arial" w:hAnsi="Arial" w:cs="Arial"/>
          <w:color w:val="000000"/>
          <w:sz w:val="20"/>
          <w:szCs w:val="20"/>
        </w:rPr>
      </w:pPr>
      <w:r>
        <w:rPr>
          <w:rFonts w:ascii="Arial" w:hAnsi="Arial" w:cs="Arial"/>
          <w:color w:val="000000"/>
          <w:sz w:val="20"/>
          <w:szCs w:val="20"/>
        </w:rPr>
        <w:t>b) For ease of transition to an alternate system in respect of transactions where cardholders decide to enter the card details manually at the time of undertaking the transaction (commonly referred to as “guest checkout transactions”), the following are being permitted as an </w:t>
      </w:r>
      <w:r>
        <w:rPr>
          <w:rFonts w:ascii="Arial" w:hAnsi="Arial" w:cs="Arial"/>
          <w:color w:val="000000"/>
          <w:sz w:val="20"/>
          <w:szCs w:val="20"/>
          <w:u w:val="single"/>
        </w:rPr>
        <w:t>interim measure</w:t>
      </w:r>
      <w:r>
        <w:rPr>
          <w:rFonts w:ascii="Arial" w:hAnsi="Arial" w:cs="Arial"/>
          <w:color w:val="000000"/>
          <w:sz w:val="20"/>
          <w:szCs w:val="20"/>
        </w:rPr>
        <w:t> –</w:t>
      </w:r>
    </w:p>
    <w:p w:rsidR="00BA0C06" w:rsidRDefault="00BA0C06" w:rsidP="00DA1141">
      <w:pPr>
        <w:pStyle w:val="NormalWeb"/>
        <w:numPr>
          <w:ilvl w:val="0"/>
          <w:numId w:val="6"/>
        </w:numPr>
        <w:ind w:left="0"/>
        <w:rPr>
          <w:rFonts w:ascii="Arial" w:hAnsi="Arial" w:cs="Arial"/>
          <w:color w:val="000000"/>
          <w:sz w:val="20"/>
          <w:szCs w:val="20"/>
        </w:rPr>
      </w:pPr>
      <w:r>
        <w:rPr>
          <w:rFonts w:ascii="Arial" w:hAnsi="Arial" w:cs="Arial"/>
          <w:color w:val="000000"/>
          <w:sz w:val="20"/>
          <w:szCs w:val="20"/>
        </w:rPr>
        <w:t xml:space="preserve">Other than the card issuer and the card network, the merchant or its Payment Aggregator (PA) involved in settlement of such transactions, can save the </w:t>
      </w:r>
      <w:proofErr w:type="spellStart"/>
      <w:r>
        <w:rPr>
          <w:rFonts w:ascii="Arial" w:hAnsi="Arial" w:cs="Arial"/>
          <w:color w:val="000000"/>
          <w:sz w:val="20"/>
          <w:szCs w:val="20"/>
        </w:rPr>
        <w:t>CoF</w:t>
      </w:r>
      <w:proofErr w:type="spellEnd"/>
      <w:r>
        <w:rPr>
          <w:rFonts w:ascii="Arial" w:hAnsi="Arial" w:cs="Arial"/>
          <w:color w:val="000000"/>
          <w:sz w:val="20"/>
          <w:szCs w:val="20"/>
        </w:rPr>
        <w:t xml:space="preserve"> data for a maximum period of T+4 days (“T” being the transaction date) or till the settlement date, whichever is earlier. This data shall be used only for settlement of such transactions, and must be purged thereafter.</w:t>
      </w:r>
    </w:p>
    <w:p w:rsidR="00BA0C06" w:rsidRDefault="00BA0C06" w:rsidP="00DA1141">
      <w:pPr>
        <w:pStyle w:val="NormalWeb"/>
        <w:numPr>
          <w:ilvl w:val="0"/>
          <w:numId w:val="6"/>
        </w:numPr>
        <w:ind w:left="0"/>
        <w:rPr>
          <w:rFonts w:ascii="Arial" w:hAnsi="Arial" w:cs="Arial"/>
          <w:color w:val="000000"/>
          <w:sz w:val="20"/>
          <w:szCs w:val="20"/>
        </w:rPr>
      </w:pPr>
      <w:r>
        <w:rPr>
          <w:rFonts w:ascii="Arial" w:hAnsi="Arial" w:cs="Arial"/>
          <w:color w:val="000000"/>
          <w:sz w:val="20"/>
          <w:szCs w:val="20"/>
        </w:rPr>
        <w:t xml:space="preserve">For handling other post-transaction activities, acquiring banks can continue to store </w:t>
      </w:r>
      <w:proofErr w:type="spellStart"/>
      <w:r>
        <w:rPr>
          <w:rFonts w:ascii="Arial" w:hAnsi="Arial" w:cs="Arial"/>
          <w:color w:val="000000"/>
          <w:sz w:val="20"/>
          <w:szCs w:val="20"/>
        </w:rPr>
        <w:t>CoF</w:t>
      </w:r>
      <w:proofErr w:type="spellEnd"/>
      <w:r>
        <w:rPr>
          <w:rFonts w:ascii="Arial" w:hAnsi="Arial" w:cs="Arial"/>
          <w:color w:val="000000"/>
          <w:sz w:val="20"/>
          <w:szCs w:val="20"/>
        </w:rPr>
        <w:t xml:space="preserve"> data until January 31, 2023.</w:t>
      </w:r>
    </w:p>
    <w:p w:rsidR="00BA0C06" w:rsidRDefault="00BA0C06" w:rsidP="00BA0C06">
      <w:pPr>
        <w:pStyle w:val="NormalWeb"/>
        <w:rPr>
          <w:rFonts w:ascii="Arial" w:hAnsi="Arial" w:cs="Arial"/>
          <w:color w:val="000000"/>
          <w:sz w:val="20"/>
          <w:szCs w:val="20"/>
        </w:rPr>
      </w:pPr>
      <w:r>
        <w:rPr>
          <w:rFonts w:ascii="Arial" w:hAnsi="Arial" w:cs="Arial"/>
          <w:color w:val="000000"/>
          <w:sz w:val="20"/>
          <w:szCs w:val="20"/>
        </w:rPr>
        <w:t>4. Appropriate penal action, including imposition of business restrictions, shall be considered by the RBI in case of any non-compliance.</w:t>
      </w:r>
    </w:p>
    <w:p w:rsidR="00BA0C06" w:rsidRDefault="00BA0C06" w:rsidP="00BA0C06">
      <w:pPr>
        <w:pStyle w:val="NormalWeb"/>
        <w:rPr>
          <w:rFonts w:ascii="Arial" w:hAnsi="Arial" w:cs="Arial"/>
          <w:color w:val="000000"/>
          <w:sz w:val="20"/>
          <w:szCs w:val="20"/>
        </w:rPr>
      </w:pPr>
      <w:r>
        <w:rPr>
          <w:rFonts w:ascii="Arial" w:hAnsi="Arial" w:cs="Arial"/>
          <w:color w:val="000000"/>
          <w:sz w:val="20"/>
          <w:szCs w:val="20"/>
        </w:rPr>
        <w:t>5. This directive is issued under Section 10 (2) read with Section 18 of the Payment and Settlement Systems Act, 2007 (Act 51 of 2007).</w:t>
      </w:r>
    </w:p>
    <w:p w:rsidR="00BA0C06" w:rsidRDefault="00BA0C06" w:rsidP="00BA0C06">
      <w:pPr>
        <w:pStyle w:val="NormalWeb"/>
        <w:spacing w:after="0" w:afterAutospacing="0"/>
        <w:rPr>
          <w:rFonts w:ascii="Arial" w:hAnsi="Arial" w:cs="Arial"/>
          <w:color w:val="000000"/>
          <w:sz w:val="20"/>
          <w:szCs w:val="20"/>
        </w:rPr>
      </w:pPr>
      <w:r>
        <w:rPr>
          <w:rFonts w:ascii="Arial" w:hAnsi="Arial" w:cs="Arial"/>
          <w:color w:val="000000"/>
          <w:sz w:val="20"/>
          <w:szCs w:val="20"/>
        </w:rPr>
        <w:t>Yours faithfully,</w:t>
      </w:r>
    </w:p>
    <w:p w:rsidR="00BA0C06" w:rsidRDefault="00BA0C06" w:rsidP="00BA0C06">
      <w:pPr>
        <w:pStyle w:val="NormalWeb"/>
        <w:spacing w:before="0" w:beforeAutospacing="0" w:after="0" w:afterAutospacing="0"/>
        <w:rPr>
          <w:rFonts w:ascii="Arial" w:hAnsi="Arial" w:cs="Arial"/>
          <w:color w:val="000000"/>
          <w:sz w:val="20"/>
          <w:szCs w:val="20"/>
        </w:rPr>
      </w:pPr>
      <w:r>
        <w:rPr>
          <w:rFonts w:ascii="Arial" w:hAnsi="Arial" w:cs="Arial"/>
          <w:color w:val="000000"/>
          <w:sz w:val="20"/>
          <w:szCs w:val="20"/>
        </w:rPr>
        <w:t xml:space="preserve">(P. </w:t>
      </w:r>
      <w:proofErr w:type="spellStart"/>
      <w:r>
        <w:rPr>
          <w:rFonts w:ascii="Arial" w:hAnsi="Arial" w:cs="Arial"/>
          <w:color w:val="000000"/>
          <w:sz w:val="20"/>
          <w:szCs w:val="20"/>
        </w:rPr>
        <w:t>Vasudevan</w:t>
      </w:r>
      <w:proofErr w:type="spellEnd"/>
      <w:r>
        <w:rPr>
          <w:rFonts w:ascii="Arial" w:hAnsi="Arial" w:cs="Arial"/>
          <w:color w:val="000000"/>
          <w:sz w:val="20"/>
          <w:szCs w:val="20"/>
        </w:rPr>
        <w:t>)</w:t>
      </w:r>
      <w:r>
        <w:rPr>
          <w:rFonts w:ascii="Arial" w:hAnsi="Arial" w:cs="Arial"/>
          <w:color w:val="000000"/>
          <w:sz w:val="20"/>
          <w:szCs w:val="20"/>
        </w:rPr>
        <w:br/>
        <w:t>Chief General Manager</w:t>
      </w:r>
    </w:p>
    <w:p w:rsidR="00BA0C06" w:rsidRDefault="00BA0C06" w:rsidP="00BA0C06">
      <w:pPr>
        <w:rPr>
          <w:rFonts w:ascii="Arial" w:hAnsi="Arial" w:cs="Arial"/>
          <w:sz w:val="20"/>
          <w:szCs w:val="20"/>
        </w:rPr>
      </w:pPr>
    </w:p>
    <w:p w:rsidR="00BA0C06" w:rsidRDefault="00BA0C06" w:rsidP="00BA0C06">
      <w:pPr>
        <w:rPr>
          <w:rFonts w:ascii="Arial" w:hAnsi="Arial" w:cs="Arial"/>
          <w:sz w:val="20"/>
          <w:szCs w:val="20"/>
        </w:rPr>
      </w:pPr>
    </w:p>
    <w:p w:rsidR="00BA0C06" w:rsidRDefault="00BA0C06" w:rsidP="00BA0C06">
      <w:r>
        <w:t>More details can be referred to in the below link.</w:t>
      </w:r>
    </w:p>
    <w:p w:rsidR="00BA0C06" w:rsidRDefault="00BA0C06" w:rsidP="00BA0C06">
      <w:pPr>
        <w:rPr>
          <w:rFonts w:ascii="Arial" w:hAnsi="Arial" w:cs="Arial"/>
          <w:bCs/>
          <w:color w:val="000000"/>
          <w:sz w:val="20"/>
          <w:szCs w:val="20"/>
        </w:rPr>
      </w:pPr>
      <w:r>
        <w:rPr>
          <w:rFonts w:ascii="Arial" w:hAnsi="Arial" w:cs="Arial"/>
          <w:bCs/>
          <w:color w:val="000000"/>
          <w:sz w:val="20"/>
          <w:szCs w:val="20"/>
        </w:rPr>
        <w:t xml:space="preserve">Reference Link: </w:t>
      </w:r>
      <w:hyperlink r:id="rId38" w:history="1">
        <w:r w:rsidRPr="006865D6">
          <w:rPr>
            <w:rStyle w:val="Hyperlink"/>
            <w:rFonts w:ascii="Arial" w:hAnsi="Arial" w:cs="Arial"/>
            <w:bCs/>
            <w:sz w:val="20"/>
            <w:szCs w:val="20"/>
          </w:rPr>
          <w:t>https://www.rbi.org.in/scripts/BS_CircularIndexDisplay.aspx?Id=12363</w:t>
        </w:r>
      </w:hyperlink>
    </w:p>
    <w:p w:rsidR="00BA0C06" w:rsidRPr="00583041" w:rsidRDefault="00BA0C06" w:rsidP="00BA0C06">
      <w:pPr>
        <w:spacing w:after="0"/>
        <w:jc w:val="both"/>
        <w:rPr>
          <w:rFonts w:ascii="Arial" w:hAnsi="Arial" w:cs="Arial"/>
          <w:b/>
          <w:sz w:val="20"/>
          <w:szCs w:val="20"/>
        </w:rPr>
      </w:pPr>
      <w:r w:rsidRPr="00583041">
        <w:rPr>
          <w:rFonts w:ascii="Arial" w:hAnsi="Arial" w:cs="Arial"/>
          <w:b/>
          <w:sz w:val="20"/>
          <w:szCs w:val="20"/>
        </w:rPr>
        <w:lastRenderedPageBreak/>
        <w:t>Foreign Exchange Management (Borrowing and Lending) (Amendment) Regulations, 2022</w:t>
      </w:r>
    </w:p>
    <w:p w:rsidR="00BA0C06" w:rsidRPr="00583041" w:rsidRDefault="00BA0C06" w:rsidP="00BA0C06">
      <w:pPr>
        <w:spacing w:after="0"/>
        <w:jc w:val="both"/>
        <w:rPr>
          <w:rFonts w:ascii="Arial" w:hAnsi="Arial" w:cs="Arial"/>
          <w:sz w:val="20"/>
          <w:szCs w:val="20"/>
        </w:rPr>
      </w:pPr>
    </w:p>
    <w:p w:rsidR="00BA0C06" w:rsidRPr="00583041" w:rsidRDefault="00BA0C06" w:rsidP="00BA0C06">
      <w:pPr>
        <w:spacing w:after="0"/>
        <w:jc w:val="both"/>
        <w:rPr>
          <w:rFonts w:ascii="Arial" w:hAnsi="Arial" w:cs="Arial"/>
          <w:sz w:val="20"/>
          <w:szCs w:val="20"/>
        </w:rPr>
      </w:pPr>
      <w:r w:rsidRPr="00583041">
        <w:rPr>
          <w:rFonts w:ascii="Arial" w:hAnsi="Arial" w:cs="Arial"/>
          <w:sz w:val="20"/>
          <w:szCs w:val="20"/>
        </w:rPr>
        <w:t>Reserve Bank of India</w:t>
      </w:r>
    </w:p>
    <w:p w:rsidR="00BA0C06" w:rsidRPr="00583041" w:rsidRDefault="00BA0C06" w:rsidP="00BA0C06">
      <w:pPr>
        <w:spacing w:after="0"/>
        <w:jc w:val="both"/>
        <w:rPr>
          <w:rFonts w:ascii="Arial" w:hAnsi="Arial" w:cs="Arial"/>
          <w:sz w:val="20"/>
          <w:szCs w:val="20"/>
        </w:rPr>
      </w:pPr>
      <w:r w:rsidRPr="00583041">
        <w:rPr>
          <w:rFonts w:ascii="Arial" w:hAnsi="Arial" w:cs="Arial"/>
          <w:sz w:val="20"/>
          <w:szCs w:val="20"/>
        </w:rPr>
        <w:t>Foreign Exchange Department</w:t>
      </w:r>
    </w:p>
    <w:p w:rsidR="00BA0C06" w:rsidRPr="00583041" w:rsidRDefault="00BA0C06" w:rsidP="00BA0C06">
      <w:pPr>
        <w:spacing w:after="0"/>
        <w:jc w:val="both"/>
        <w:rPr>
          <w:rFonts w:ascii="Arial" w:hAnsi="Arial" w:cs="Arial"/>
          <w:sz w:val="20"/>
          <w:szCs w:val="20"/>
        </w:rPr>
      </w:pPr>
      <w:r w:rsidRPr="00583041">
        <w:rPr>
          <w:rFonts w:ascii="Arial" w:hAnsi="Arial" w:cs="Arial"/>
          <w:sz w:val="20"/>
          <w:szCs w:val="20"/>
        </w:rPr>
        <w:t>Central Office</w:t>
      </w:r>
    </w:p>
    <w:p w:rsidR="00BA0C06" w:rsidRPr="00583041" w:rsidRDefault="00BA0C06" w:rsidP="00BA0C06">
      <w:pPr>
        <w:spacing w:after="0"/>
        <w:jc w:val="both"/>
        <w:rPr>
          <w:rFonts w:ascii="Arial" w:hAnsi="Arial" w:cs="Arial"/>
          <w:sz w:val="20"/>
          <w:szCs w:val="20"/>
        </w:rPr>
      </w:pPr>
      <w:r w:rsidRPr="00583041">
        <w:rPr>
          <w:rFonts w:ascii="Arial" w:hAnsi="Arial" w:cs="Arial"/>
          <w:sz w:val="20"/>
          <w:szCs w:val="20"/>
        </w:rPr>
        <w:t>Mumbai</w:t>
      </w:r>
    </w:p>
    <w:p w:rsidR="00BA0C06" w:rsidRPr="00583041" w:rsidRDefault="00BA0C06" w:rsidP="00BA0C06">
      <w:pPr>
        <w:spacing w:after="0"/>
        <w:jc w:val="both"/>
        <w:rPr>
          <w:rFonts w:ascii="Arial" w:hAnsi="Arial" w:cs="Arial"/>
          <w:sz w:val="20"/>
          <w:szCs w:val="20"/>
        </w:rPr>
      </w:pPr>
    </w:p>
    <w:p w:rsidR="00BA0C06" w:rsidRPr="00583041" w:rsidRDefault="00BA0C06" w:rsidP="00BA0C06">
      <w:pPr>
        <w:spacing w:after="0"/>
        <w:jc w:val="both"/>
        <w:rPr>
          <w:rFonts w:ascii="Arial" w:hAnsi="Arial" w:cs="Arial"/>
          <w:sz w:val="20"/>
          <w:szCs w:val="20"/>
        </w:rPr>
      </w:pPr>
      <w:r w:rsidRPr="00583041">
        <w:rPr>
          <w:rFonts w:ascii="Arial" w:hAnsi="Arial" w:cs="Arial"/>
          <w:sz w:val="20"/>
          <w:szCs w:val="20"/>
        </w:rPr>
        <w:t>Notification No. FEMA.3(R)(3)/2022-RB</w:t>
      </w:r>
    </w:p>
    <w:p w:rsidR="00BA0C06" w:rsidRPr="00583041" w:rsidRDefault="00BA0C06" w:rsidP="00BA0C06">
      <w:pPr>
        <w:spacing w:after="0"/>
        <w:jc w:val="both"/>
        <w:rPr>
          <w:rFonts w:ascii="Arial" w:hAnsi="Arial" w:cs="Arial"/>
          <w:sz w:val="20"/>
          <w:szCs w:val="20"/>
        </w:rPr>
      </w:pPr>
    </w:p>
    <w:p w:rsidR="00BA0C06" w:rsidRPr="00583041" w:rsidRDefault="00BA0C06" w:rsidP="00BA0C06">
      <w:pPr>
        <w:spacing w:after="0"/>
        <w:jc w:val="right"/>
        <w:rPr>
          <w:rFonts w:ascii="Arial" w:hAnsi="Arial" w:cs="Arial"/>
          <w:sz w:val="20"/>
          <w:szCs w:val="20"/>
        </w:rPr>
      </w:pPr>
      <w:r w:rsidRPr="00583041">
        <w:rPr>
          <w:rFonts w:ascii="Arial" w:hAnsi="Arial" w:cs="Arial"/>
          <w:sz w:val="20"/>
          <w:szCs w:val="20"/>
        </w:rPr>
        <w:t>July 28, 2022</w:t>
      </w:r>
    </w:p>
    <w:p w:rsidR="00BA0C06" w:rsidRPr="00583041" w:rsidRDefault="00BA0C06" w:rsidP="00BA0C06">
      <w:pPr>
        <w:spacing w:after="0"/>
        <w:jc w:val="both"/>
        <w:rPr>
          <w:rFonts w:ascii="Arial" w:hAnsi="Arial" w:cs="Arial"/>
          <w:sz w:val="20"/>
          <w:szCs w:val="20"/>
        </w:rPr>
      </w:pPr>
    </w:p>
    <w:p w:rsidR="00BA0C06" w:rsidRPr="00583041" w:rsidRDefault="00BA0C06" w:rsidP="00BA0C06">
      <w:pPr>
        <w:spacing w:after="0"/>
        <w:jc w:val="both"/>
        <w:rPr>
          <w:rFonts w:ascii="Arial" w:hAnsi="Arial" w:cs="Arial"/>
          <w:b/>
          <w:sz w:val="20"/>
          <w:szCs w:val="20"/>
        </w:rPr>
      </w:pPr>
      <w:r w:rsidRPr="00583041">
        <w:rPr>
          <w:rFonts w:ascii="Arial" w:hAnsi="Arial" w:cs="Arial"/>
          <w:b/>
          <w:sz w:val="20"/>
          <w:szCs w:val="20"/>
        </w:rPr>
        <w:t>Foreign Exchange Management (Borrowing and Lending) (Amendment) Regulations, 2022</w:t>
      </w:r>
    </w:p>
    <w:p w:rsidR="00BA0C06" w:rsidRPr="00583041" w:rsidRDefault="00BA0C06" w:rsidP="00BA0C06">
      <w:pPr>
        <w:spacing w:after="0"/>
        <w:jc w:val="both"/>
        <w:rPr>
          <w:rFonts w:ascii="Arial" w:hAnsi="Arial" w:cs="Arial"/>
          <w:sz w:val="20"/>
          <w:szCs w:val="20"/>
        </w:rPr>
      </w:pPr>
    </w:p>
    <w:p w:rsidR="00BA0C06" w:rsidRPr="00583041" w:rsidRDefault="00BA0C06" w:rsidP="00BA0C06">
      <w:pPr>
        <w:spacing w:after="0"/>
        <w:jc w:val="both"/>
        <w:rPr>
          <w:rFonts w:ascii="Arial" w:hAnsi="Arial" w:cs="Arial"/>
          <w:sz w:val="20"/>
          <w:szCs w:val="20"/>
        </w:rPr>
      </w:pPr>
      <w:r w:rsidRPr="00583041">
        <w:rPr>
          <w:rFonts w:ascii="Arial" w:hAnsi="Arial" w:cs="Arial"/>
          <w:sz w:val="20"/>
          <w:szCs w:val="20"/>
        </w:rPr>
        <w:t>In exercise of the powers conferred by sub-section (2) of Section 6 and Section 47 of the Foreign Exchange Management Act, 1999 (42 of 1999), the Reserve Bank of India hereby makes the following amendments to the Foreign Exchange Management (Borrowing and Lending) Regulations, 2018 (Notification No. FEMA.3(R)/2018-RB dated December 17, 2018) (hereinafter referred to as 'the Principal Regulations'), namely:</w:t>
      </w:r>
    </w:p>
    <w:p w:rsidR="00BA0C06" w:rsidRPr="00583041" w:rsidRDefault="00BA0C06" w:rsidP="00BA0C06">
      <w:pPr>
        <w:spacing w:after="0"/>
        <w:jc w:val="both"/>
        <w:rPr>
          <w:rFonts w:ascii="Arial" w:hAnsi="Arial" w:cs="Arial"/>
          <w:sz w:val="20"/>
          <w:szCs w:val="20"/>
        </w:rPr>
      </w:pPr>
    </w:p>
    <w:p w:rsidR="00BA0C06" w:rsidRPr="00583041" w:rsidRDefault="00BA0C06" w:rsidP="00BA0C06">
      <w:pPr>
        <w:spacing w:after="0"/>
        <w:jc w:val="both"/>
        <w:rPr>
          <w:rFonts w:ascii="Arial" w:hAnsi="Arial" w:cs="Arial"/>
          <w:sz w:val="20"/>
          <w:szCs w:val="20"/>
        </w:rPr>
      </w:pPr>
      <w:r w:rsidRPr="00583041">
        <w:rPr>
          <w:rFonts w:ascii="Arial" w:hAnsi="Arial" w:cs="Arial"/>
          <w:sz w:val="20"/>
          <w:szCs w:val="20"/>
        </w:rPr>
        <w:t>1. Short Title &amp; Commencement:</w:t>
      </w:r>
    </w:p>
    <w:p w:rsidR="00BA0C06" w:rsidRPr="00583041" w:rsidRDefault="00BA0C06" w:rsidP="00BA0C06">
      <w:pPr>
        <w:spacing w:after="0"/>
        <w:jc w:val="both"/>
        <w:rPr>
          <w:rFonts w:ascii="Arial" w:hAnsi="Arial" w:cs="Arial"/>
          <w:sz w:val="20"/>
          <w:szCs w:val="20"/>
        </w:rPr>
      </w:pPr>
    </w:p>
    <w:p w:rsidR="00BA0C06" w:rsidRPr="00583041" w:rsidRDefault="00BA0C06" w:rsidP="00BA0C06">
      <w:pPr>
        <w:spacing w:after="0"/>
        <w:jc w:val="both"/>
        <w:rPr>
          <w:rFonts w:ascii="Arial" w:hAnsi="Arial" w:cs="Arial"/>
          <w:sz w:val="20"/>
          <w:szCs w:val="20"/>
        </w:rPr>
      </w:pPr>
      <w:r w:rsidRPr="00583041">
        <w:rPr>
          <w:rFonts w:ascii="Arial" w:hAnsi="Arial" w:cs="Arial"/>
          <w:sz w:val="20"/>
          <w:szCs w:val="20"/>
        </w:rPr>
        <w:t>(i) These Regulations may be called the Foreign Exchange Management (Borrowing and Lending) (Third Amendment) Regulations, 2022.</w:t>
      </w:r>
    </w:p>
    <w:p w:rsidR="00BA0C06" w:rsidRPr="00583041" w:rsidRDefault="00BA0C06" w:rsidP="00BA0C06">
      <w:pPr>
        <w:spacing w:after="0"/>
        <w:jc w:val="both"/>
        <w:rPr>
          <w:rFonts w:ascii="Arial" w:hAnsi="Arial" w:cs="Arial"/>
          <w:sz w:val="20"/>
          <w:szCs w:val="20"/>
        </w:rPr>
      </w:pPr>
    </w:p>
    <w:p w:rsidR="00BA0C06" w:rsidRPr="00583041" w:rsidRDefault="00BA0C06" w:rsidP="00BA0C06">
      <w:pPr>
        <w:spacing w:after="0"/>
        <w:jc w:val="both"/>
        <w:rPr>
          <w:rFonts w:ascii="Arial" w:hAnsi="Arial" w:cs="Arial"/>
          <w:sz w:val="20"/>
          <w:szCs w:val="20"/>
        </w:rPr>
      </w:pPr>
      <w:r w:rsidRPr="00583041">
        <w:rPr>
          <w:rFonts w:ascii="Arial" w:hAnsi="Arial" w:cs="Arial"/>
          <w:sz w:val="20"/>
          <w:szCs w:val="20"/>
        </w:rPr>
        <w:t>(ii) They shall come into force from the date of notification in the official gazette.</w:t>
      </w:r>
    </w:p>
    <w:p w:rsidR="00BA0C06" w:rsidRPr="00583041" w:rsidRDefault="00BA0C06" w:rsidP="00BA0C06">
      <w:pPr>
        <w:spacing w:after="0"/>
        <w:jc w:val="both"/>
        <w:rPr>
          <w:rFonts w:ascii="Arial" w:hAnsi="Arial" w:cs="Arial"/>
          <w:sz w:val="20"/>
          <w:szCs w:val="20"/>
        </w:rPr>
      </w:pPr>
    </w:p>
    <w:p w:rsidR="00BA0C06" w:rsidRPr="00583041" w:rsidRDefault="00BA0C06" w:rsidP="00BA0C06">
      <w:pPr>
        <w:spacing w:after="0"/>
        <w:jc w:val="both"/>
        <w:rPr>
          <w:rFonts w:ascii="Arial" w:hAnsi="Arial" w:cs="Arial"/>
          <w:sz w:val="20"/>
          <w:szCs w:val="20"/>
        </w:rPr>
      </w:pPr>
      <w:r w:rsidRPr="00583041">
        <w:rPr>
          <w:rFonts w:ascii="Arial" w:hAnsi="Arial" w:cs="Arial"/>
          <w:sz w:val="20"/>
          <w:szCs w:val="20"/>
        </w:rPr>
        <w:t>2. Amendment to Paragraph 2 of Schedule 1:</w:t>
      </w:r>
    </w:p>
    <w:p w:rsidR="00BA0C06" w:rsidRPr="00583041" w:rsidRDefault="00BA0C06" w:rsidP="00BA0C06">
      <w:pPr>
        <w:spacing w:after="0"/>
        <w:jc w:val="both"/>
        <w:rPr>
          <w:rFonts w:ascii="Arial" w:hAnsi="Arial" w:cs="Arial"/>
          <w:sz w:val="20"/>
          <w:szCs w:val="20"/>
        </w:rPr>
      </w:pPr>
    </w:p>
    <w:p w:rsidR="00BA0C06" w:rsidRPr="00583041" w:rsidRDefault="00BA0C06" w:rsidP="00BA0C06">
      <w:pPr>
        <w:spacing w:after="0"/>
        <w:jc w:val="both"/>
        <w:rPr>
          <w:rFonts w:ascii="Arial" w:hAnsi="Arial" w:cs="Arial"/>
          <w:sz w:val="20"/>
          <w:szCs w:val="20"/>
        </w:rPr>
      </w:pPr>
      <w:r w:rsidRPr="00583041">
        <w:rPr>
          <w:rFonts w:ascii="Arial" w:hAnsi="Arial" w:cs="Arial"/>
          <w:sz w:val="20"/>
          <w:szCs w:val="20"/>
        </w:rPr>
        <w:t>After Paragraph 8 of Schedule 1 to the Principal Regulations, the following shall be added;</w:t>
      </w:r>
    </w:p>
    <w:p w:rsidR="00BA0C06" w:rsidRPr="00583041" w:rsidRDefault="00BA0C06" w:rsidP="00BA0C06">
      <w:pPr>
        <w:spacing w:after="0"/>
        <w:jc w:val="both"/>
        <w:rPr>
          <w:rFonts w:ascii="Arial" w:hAnsi="Arial" w:cs="Arial"/>
          <w:sz w:val="20"/>
          <w:szCs w:val="20"/>
        </w:rPr>
      </w:pPr>
    </w:p>
    <w:p w:rsidR="00BA0C06" w:rsidRPr="00583041" w:rsidRDefault="00BA0C06" w:rsidP="00BA0C06">
      <w:pPr>
        <w:spacing w:after="0"/>
        <w:jc w:val="both"/>
        <w:rPr>
          <w:rFonts w:ascii="Arial" w:hAnsi="Arial" w:cs="Arial"/>
          <w:sz w:val="20"/>
          <w:szCs w:val="20"/>
        </w:rPr>
      </w:pPr>
      <w:r w:rsidRPr="00583041">
        <w:rPr>
          <w:rFonts w:ascii="Arial" w:hAnsi="Arial" w:cs="Arial"/>
          <w:sz w:val="20"/>
          <w:szCs w:val="20"/>
        </w:rPr>
        <w:t>“8A: The limit of USD 750 million or equivalent per financial year is temporarily increased to USD 1500 million or equivalent. This dispensation will be available for ECBs raised till December 31, 2022.”</w:t>
      </w:r>
    </w:p>
    <w:p w:rsidR="00BA0C06" w:rsidRPr="00583041" w:rsidRDefault="00BA0C06" w:rsidP="00BA0C06">
      <w:pPr>
        <w:spacing w:after="0"/>
        <w:jc w:val="both"/>
        <w:rPr>
          <w:rFonts w:ascii="Arial" w:hAnsi="Arial" w:cs="Arial"/>
          <w:sz w:val="20"/>
          <w:szCs w:val="20"/>
        </w:rPr>
      </w:pPr>
    </w:p>
    <w:p w:rsidR="00BA0C06" w:rsidRPr="00583041" w:rsidRDefault="00BA0C06" w:rsidP="00BA0C06">
      <w:pPr>
        <w:spacing w:after="0"/>
        <w:jc w:val="both"/>
        <w:rPr>
          <w:rFonts w:ascii="Arial" w:hAnsi="Arial" w:cs="Arial"/>
          <w:sz w:val="20"/>
          <w:szCs w:val="20"/>
        </w:rPr>
      </w:pPr>
      <w:r w:rsidRPr="00583041">
        <w:rPr>
          <w:rFonts w:ascii="Arial" w:hAnsi="Arial" w:cs="Arial"/>
          <w:sz w:val="20"/>
          <w:szCs w:val="20"/>
        </w:rPr>
        <w:t xml:space="preserve">(Ajay Kumar </w:t>
      </w:r>
      <w:proofErr w:type="spellStart"/>
      <w:r w:rsidRPr="00583041">
        <w:rPr>
          <w:rFonts w:ascii="Arial" w:hAnsi="Arial" w:cs="Arial"/>
          <w:sz w:val="20"/>
          <w:szCs w:val="20"/>
        </w:rPr>
        <w:t>Misra</w:t>
      </w:r>
      <w:proofErr w:type="spellEnd"/>
      <w:r w:rsidRPr="00583041">
        <w:rPr>
          <w:rFonts w:ascii="Arial" w:hAnsi="Arial" w:cs="Arial"/>
          <w:sz w:val="20"/>
          <w:szCs w:val="20"/>
        </w:rPr>
        <w:t>)</w:t>
      </w:r>
    </w:p>
    <w:p w:rsidR="00BA0C06" w:rsidRDefault="00BA0C06" w:rsidP="00BA0C06">
      <w:pPr>
        <w:spacing w:after="0"/>
        <w:jc w:val="both"/>
        <w:rPr>
          <w:rFonts w:ascii="Arial" w:hAnsi="Arial" w:cs="Arial"/>
          <w:sz w:val="20"/>
          <w:szCs w:val="20"/>
        </w:rPr>
      </w:pPr>
      <w:r w:rsidRPr="00583041">
        <w:rPr>
          <w:rFonts w:ascii="Arial" w:hAnsi="Arial" w:cs="Arial"/>
          <w:sz w:val="20"/>
          <w:szCs w:val="20"/>
        </w:rPr>
        <w:t>Chief General Manager-in-charge</w:t>
      </w:r>
    </w:p>
    <w:p w:rsidR="00BA0C06" w:rsidRDefault="00BA0C06" w:rsidP="00BA0C06"/>
    <w:p w:rsidR="00BA0C06" w:rsidRDefault="00BA0C06" w:rsidP="00BA0C06"/>
    <w:p w:rsidR="00BA0C06" w:rsidRDefault="00BA0C06" w:rsidP="00BA0C06">
      <w:r>
        <w:t>More details can be referred to in the below link.</w:t>
      </w:r>
    </w:p>
    <w:p w:rsidR="00BA0C06" w:rsidRDefault="00BA0C06" w:rsidP="00BA0C06">
      <w:pPr>
        <w:rPr>
          <w:rFonts w:ascii="Arial" w:hAnsi="Arial" w:cs="Arial"/>
          <w:sz w:val="20"/>
          <w:szCs w:val="20"/>
        </w:rPr>
      </w:pPr>
      <w:r>
        <w:rPr>
          <w:rFonts w:ascii="Arial" w:hAnsi="Arial" w:cs="Arial"/>
          <w:sz w:val="20"/>
          <w:szCs w:val="20"/>
        </w:rPr>
        <w:t xml:space="preserve">Reference Link: </w:t>
      </w:r>
      <w:hyperlink r:id="rId39" w:anchor=":~:text=%E2%80%9C8A%3A%20The%20limit%20of%20USD,till%20December%2031%2C%202022.%E2%80%9D&amp;text=Foot%20Note%3A%20%2D%20The%20Principal%20Regulations,No" w:history="1">
        <w:r w:rsidRPr="00200311">
          <w:rPr>
            <w:rStyle w:val="Hyperlink"/>
            <w:rFonts w:ascii="Arial" w:hAnsi="Arial" w:cs="Arial"/>
            <w:sz w:val="20"/>
            <w:szCs w:val="20"/>
          </w:rPr>
          <w:t>https://www.rbi.org.in/scripts/FS_Notification.aspx?Id=12377&amp;fn=5&amp;Mode=0#:~:text=%E2%80%9C8A%3A%20The%20limit%20of%20USD,till%20December%2031%2C%202022.%E2%80%9D&amp;text=Foot%20Note%3A%20%2D%20The%20Principal%20Regulations,No</w:t>
        </w:r>
      </w:hyperlink>
      <w:r w:rsidRPr="002A3764">
        <w:rPr>
          <w:rFonts w:ascii="Arial" w:hAnsi="Arial" w:cs="Arial"/>
          <w:sz w:val="20"/>
          <w:szCs w:val="20"/>
        </w:rPr>
        <w:t>.</w:t>
      </w:r>
    </w:p>
    <w:p w:rsidR="00BA0C06" w:rsidRDefault="00BA0C06" w:rsidP="00BA0C06">
      <w:pPr>
        <w:jc w:val="both"/>
        <w:rPr>
          <w:rFonts w:ascii="Arial" w:hAnsi="Arial" w:cs="Arial"/>
          <w:b/>
          <w:bCs/>
          <w:color w:val="000000"/>
          <w:sz w:val="20"/>
          <w:szCs w:val="20"/>
        </w:rPr>
      </w:pPr>
    </w:p>
    <w:p w:rsidR="00BA0C06" w:rsidRDefault="00BA0C06" w:rsidP="00BA0C06">
      <w:pPr>
        <w:jc w:val="both"/>
        <w:rPr>
          <w:rFonts w:ascii="Arial" w:hAnsi="Arial" w:cs="Arial"/>
          <w:b/>
          <w:bCs/>
          <w:color w:val="000000"/>
          <w:sz w:val="20"/>
          <w:szCs w:val="20"/>
        </w:rPr>
      </w:pPr>
    </w:p>
    <w:p w:rsidR="00BA0C06" w:rsidRDefault="00BA0C06" w:rsidP="00BA0C06">
      <w:pPr>
        <w:jc w:val="both"/>
        <w:rPr>
          <w:rFonts w:ascii="Arial" w:hAnsi="Arial" w:cs="Arial"/>
          <w:b/>
          <w:bCs/>
          <w:color w:val="000000"/>
          <w:sz w:val="20"/>
          <w:szCs w:val="20"/>
        </w:rPr>
      </w:pPr>
    </w:p>
    <w:p w:rsidR="00BA0C06" w:rsidRDefault="00BA0C06" w:rsidP="00BA0C06">
      <w:pPr>
        <w:jc w:val="both"/>
        <w:rPr>
          <w:rFonts w:ascii="Arial" w:hAnsi="Arial" w:cs="Arial"/>
          <w:b/>
          <w:bCs/>
          <w:color w:val="000000"/>
          <w:sz w:val="20"/>
          <w:szCs w:val="20"/>
        </w:rPr>
      </w:pPr>
    </w:p>
    <w:p w:rsidR="00BA0C06" w:rsidRDefault="00BA0C06" w:rsidP="00BA0C06">
      <w:pPr>
        <w:jc w:val="both"/>
        <w:rPr>
          <w:rFonts w:ascii="Arial" w:hAnsi="Arial" w:cs="Arial"/>
          <w:b/>
          <w:bCs/>
          <w:color w:val="000000"/>
          <w:sz w:val="20"/>
          <w:szCs w:val="20"/>
        </w:rPr>
      </w:pPr>
    </w:p>
    <w:p w:rsidR="00BA0C06" w:rsidRDefault="00BA0C06" w:rsidP="00BA0C06">
      <w:pPr>
        <w:jc w:val="both"/>
        <w:rPr>
          <w:rFonts w:ascii="Arial" w:hAnsi="Arial" w:cs="Arial"/>
          <w:b/>
          <w:bCs/>
          <w:color w:val="000000"/>
          <w:sz w:val="20"/>
          <w:szCs w:val="20"/>
        </w:rPr>
      </w:pPr>
    </w:p>
    <w:p w:rsidR="00BA0C06" w:rsidRDefault="00BA0C06" w:rsidP="00BA0C06">
      <w:pPr>
        <w:jc w:val="both"/>
        <w:rPr>
          <w:rFonts w:ascii="Arial" w:hAnsi="Arial" w:cs="Arial"/>
          <w:b/>
          <w:bCs/>
          <w:color w:val="000000"/>
          <w:sz w:val="20"/>
          <w:szCs w:val="20"/>
        </w:rPr>
      </w:pPr>
    </w:p>
    <w:p w:rsidR="00BA0C06" w:rsidRDefault="00BA0C06" w:rsidP="00BA0C06">
      <w:pPr>
        <w:rPr>
          <w:rFonts w:ascii="Arial" w:hAnsi="Arial" w:cs="Arial"/>
          <w:sz w:val="20"/>
          <w:szCs w:val="20"/>
        </w:rPr>
      </w:pPr>
      <w:r>
        <w:rPr>
          <w:rFonts w:ascii="Arial" w:hAnsi="Arial" w:cs="Arial"/>
          <w:b/>
          <w:bCs/>
          <w:color w:val="000000"/>
          <w:sz w:val="20"/>
          <w:szCs w:val="20"/>
        </w:rPr>
        <w:lastRenderedPageBreak/>
        <w:t>Master Circular - Credit facilities to Scheduled Castes (SCs) &amp; Scheduled Tribes (STs)</w:t>
      </w:r>
    </w:p>
    <w:p w:rsidR="00BA0C06" w:rsidRDefault="00BA0C06" w:rsidP="00BA0C06">
      <w:pPr>
        <w:pStyle w:val="NormalWeb"/>
        <w:rPr>
          <w:rFonts w:ascii="Arial" w:hAnsi="Arial" w:cs="Arial"/>
          <w:color w:val="000000"/>
          <w:sz w:val="20"/>
          <w:szCs w:val="20"/>
        </w:rPr>
      </w:pPr>
      <w:r>
        <w:rPr>
          <w:rFonts w:ascii="Arial" w:hAnsi="Arial" w:cs="Arial"/>
          <w:color w:val="000000"/>
          <w:sz w:val="20"/>
          <w:szCs w:val="20"/>
        </w:rPr>
        <w:t>RBI/2022-2023/97</w:t>
      </w:r>
      <w:r>
        <w:rPr>
          <w:rFonts w:ascii="Arial" w:hAnsi="Arial" w:cs="Arial"/>
          <w:color w:val="000000"/>
          <w:sz w:val="20"/>
          <w:szCs w:val="20"/>
        </w:rPr>
        <w:br/>
        <w:t>FIDD.CO.GSSD.BC.No.10/09.09.001/2022-23</w:t>
      </w:r>
    </w:p>
    <w:p w:rsidR="00BA0C06" w:rsidRDefault="00BA0C06" w:rsidP="00BA0C06">
      <w:pPr>
        <w:pStyle w:val="NormalWeb"/>
        <w:jc w:val="right"/>
        <w:rPr>
          <w:rFonts w:ascii="Arial" w:hAnsi="Arial" w:cs="Arial"/>
          <w:color w:val="000000"/>
          <w:sz w:val="20"/>
          <w:szCs w:val="20"/>
        </w:rPr>
      </w:pPr>
      <w:r>
        <w:rPr>
          <w:rFonts w:ascii="Arial" w:hAnsi="Arial" w:cs="Arial"/>
          <w:color w:val="000000"/>
          <w:sz w:val="20"/>
          <w:szCs w:val="20"/>
        </w:rPr>
        <w:t>August 1, 2022</w:t>
      </w:r>
    </w:p>
    <w:p w:rsidR="00BA0C06" w:rsidRDefault="00BA0C06" w:rsidP="00BA0C06">
      <w:pPr>
        <w:pStyle w:val="NormalWeb"/>
        <w:rPr>
          <w:rFonts w:ascii="Arial" w:hAnsi="Arial" w:cs="Arial"/>
          <w:color w:val="000000"/>
          <w:sz w:val="20"/>
          <w:szCs w:val="20"/>
        </w:rPr>
      </w:pPr>
      <w:r>
        <w:rPr>
          <w:rFonts w:ascii="Arial" w:hAnsi="Arial" w:cs="Arial"/>
          <w:color w:val="000000"/>
          <w:sz w:val="20"/>
          <w:szCs w:val="20"/>
        </w:rPr>
        <w:t>The Chairman/ Managing Director / Chief Executive Officer</w:t>
      </w:r>
      <w:r>
        <w:rPr>
          <w:rFonts w:ascii="Arial" w:hAnsi="Arial" w:cs="Arial"/>
          <w:color w:val="000000"/>
          <w:sz w:val="20"/>
          <w:szCs w:val="20"/>
        </w:rPr>
        <w:br/>
        <w:t>All Scheduled Commercial Banks (including Small Finance Banks)</w:t>
      </w:r>
    </w:p>
    <w:p w:rsidR="00BA0C06" w:rsidRDefault="00BA0C06" w:rsidP="00BA0C06">
      <w:pPr>
        <w:pStyle w:val="NormalWeb"/>
        <w:rPr>
          <w:rFonts w:ascii="Arial" w:hAnsi="Arial" w:cs="Arial"/>
          <w:color w:val="000000"/>
          <w:sz w:val="20"/>
          <w:szCs w:val="20"/>
        </w:rPr>
      </w:pPr>
      <w:r>
        <w:rPr>
          <w:rFonts w:ascii="Arial" w:hAnsi="Arial" w:cs="Arial"/>
          <w:color w:val="000000"/>
          <w:sz w:val="20"/>
          <w:szCs w:val="20"/>
        </w:rPr>
        <w:t>Madam/ Dear Sir,</w:t>
      </w:r>
    </w:p>
    <w:p w:rsidR="00BA0C06" w:rsidRDefault="00BA0C06" w:rsidP="00BA0C06">
      <w:pPr>
        <w:pStyle w:val="head"/>
        <w:rPr>
          <w:rFonts w:ascii="Arial" w:hAnsi="Arial" w:cs="Arial"/>
          <w:b/>
          <w:bCs/>
          <w:color w:val="000000"/>
          <w:sz w:val="20"/>
          <w:szCs w:val="20"/>
        </w:rPr>
      </w:pPr>
      <w:r>
        <w:rPr>
          <w:rFonts w:ascii="Arial" w:hAnsi="Arial" w:cs="Arial"/>
          <w:b/>
          <w:bCs/>
          <w:color w:val="000000"/>
          <w:sz w:val="20"/>
          <w:szCs w:val="20"/>
        </w:rPr>
        <w:t>Master Circular - Credit facilities to Scheduled Castes (SCs) &amp; Scheduled Tribes (STs)</w:t>
      </w:r>
    </w:p>
    <w:p w:rsidR="000B7E87" w:rsidRDefault="000B7E87" w:rsidP="000B7E87">
      <w:pPr>
        <w:pStyle w:val="NormalWeb"/>
        <w:rPr>
          <w:rFonts w:ascii="Arial" w:hAnsi="Arial" w:cs="Arial"/>
          <w:color w:val="000000"/>
          <w:sz w:val="20"/>
          <w:szCs w:val="20"/>
        </w:rPr>
      </w:pPr>
      <w:r>
        <w:rPr>
          <w:rFonts w:ascii="Arial" w:hAnsi="Arial" w:cs="Arial"/>
          <w:color w:val="000000"/>
          <w:sz w:val="20"/>
          <w:szCs w:val="20"/>
        </w:rPr>
        <w:t>The Reserve Bank of India has, from time to time, issued a number of guidelines/instructions to banks on credit facilities to Scheduled Castes (SCs) &amp; Scheduled Tribes (STs). The enclosed </w:t>
      </w:r>
      <w:hyperlink r:id="rId40" w:anchor="MC1" w:history="1">
        <w:r>
          <w:rPr>
            <w:rStyle w:val="Hyperlink"/>
            <w:rFonts w:ascii="Arial" w:hAnsi="Arial" w:cs="Arial"/>
            <w:sz w:val="20"/>
            <w:szCs w:val="20"/>
          </w:rPr>
          <w:t>Master Circular</w:t>
        </w:r>
      </w:hyperlink>
      <w:r>
        <w:rPr>
          <w:rFonts w:ascii="Arial" w:hAnsi="Arial" w:cs="Arial"/>
          <w:color w:val="000000"/>
          <w:sz w:val="20"/>
          <w:szCs w:val="20"/>
        </w:rPr>
        <w:t> consolidates the circulars issued by Reserve Bank on the subject till date, as listed in the below points.</w:t>
      </w:r>
    </w:p>
    <w:p w:rsidR="000B7E87" w:rsidRPr="00556D17" w:rsidRDefault="000B7E87" w:rsidP="000B7E87">
      <w:pPr>
        <w:pStyle w:val="NormalWeb"/>
        <w:rPr>
          <w:rFonts w:ascii="Arial" w:hAnsi="Arial" w:cs="Arial"/>
          <w:color w:val="000000"/>
          <w:sz w:val="20"/>
          <w:szCs w:val="20"/>
        </w:rPr>
      </w:pPr>
      <w:r w:rsidRPr="00556D17">
        <w:rPr>
          <w:rFonts w:ascii="Arial" w:hAnsi="Arial" w:cs="Arial"/>
          <w:bCs/>
          <w:color w:val="000000"/>
          <w:sz w:val="20"/>
          <w:szCs w:val="20"/>
        </w:rPr>
        <w:t>1. Planning Process</w:t>
      </w:r>
    </w:p>
    <w:p w:rsidR="000B7E87" w:rsidRPr="00556D17" w:rsidRDefault="000B7E87" w:rsidP="000B7E87">
      <w:pPr>
        <w:pStyle w:val="NormalWeb"/>
        <w:rPr>
          <w:rFonts w:ascii="Arial" w:hAnsi="Arial" w:cs="Arial"/>
          <w:bCs/>
          <w:color w:val="000000"/>
          <w:sz w:val="20"/>
          <w:szCs w:val="20"/>
        </w:rPr>
      </w:pPr>
      <w:r w:rsidRPr="00556D17">
        <w:rPr>
          <w:rFonts w:ascii="Arial" w:hAnsi="Arial" w:cs="Arial"/>
          <w:bCs/>
          <w:color w:val="000000"/>
          <w:sz w:val="20"/>
          <w:szCs w:val="20"/>
        </w:rPr>
        <w:t>2. Role of Banks</w:t>
      </w:r>
    </w:p>
    <w:p w:rsidR="000B7E87" w:rsidRPr="00556D17" w:rsidRDefault="000B7E87" w:rsidP="000B7E87">
      <w:pPr>
        <w:pStyle w:val="NormalWeb"/>
        <w:rPr>
          <w:rFonts w:ascii="Arial" w:hAnsi="Arial" w:cs="Arial"/>
          <w:bCs/>
          <w:color w:val="000000"/>
          <w:sz w:val="20"/>
          <w:szCs w:val="20"/>
        </w:rPr>
      </w:pPr>
      <w:r w:rsidRPr="00556D17">
        <w:rPr>
          <w:rFonts w:ascii="Arial" w:hAnsi="Arial" w:cs="Arial"/>
          <w:bCs/>
          <w:color w:val="000000"/>
          <w:sz w:val="20"/>
          <w:szCs w:val="20"/>
        </w:rPr>
        <w:t>3. Role of SC/ST Development Corporations</w:t>
      </w:r>
    </w:p>
    <w:p w:rsidR="000B7E87" w:rsidRPr="00556D17" w:rsidRDefault="000B7E87" w:rsidP="000B7E87">
      <w:pPr>
        <w:pStyle w:val="NormalWeb"/>
        <w:rPr>
          <w:rFonts w:ascii="Arial" w:hAnsi="Arial" w:cs="Arial"/>
          <w:bCs/>
          <w:color w:val="000000"/>
          <w:sz w:val="20"/>
          <w:szCs w:val="20"/>
        </w:rPr>
      </w:pPr>
      <w:r w:rsidRPr="00556D17">
        <w:rPr>
          <w:rFonts w:ascii="Arial" w:hAnsi="Arial" w:cs="Arial"/>
          <w:bCs/>
          <w:color w:val="000000"/>
          <w:sz w:val="20"/>
          <w:szCs w:val="20"/>
        </w:rPr>
        <w:t>4. Reservations for SC/ST beneficiaries under major Centrally Sponsored Schemes.</w:t>
      </w:r>
    </w:p>
    <w:p w:rsidR="000B7E87" w:rsidRPr="00556D17" w:rsidRDefault="000B7E87" w:rsidP="000B7E87">
      <w:pPr>
        <w:pStyle w:val="NormalWeb"/>
        <w:rPr>
          <w:rFonts w:ascii="Arial" w:hAnsi="Arial" w:cs="Arial"/>
          <w:bCs/>
          <w:color w:val="000000"/>
          <w:sz w:val="20"/>
          <w:szCs w:val="20"/>
        </w:rPr>
      </w:pPr>
      <w:r w:rsidRPr="00556D17">
        <w:rPr>
          <w:rFonts w:ascii="Arial" w:hAnsi="Arial" w:cs="Arial"/>
          <w:bCs/>
          <w:color w:val="000000"/>
          <w:sz w:val="20"/>
          <w:szCs w:val="20"/>
        </w:rPr>
        <w:t>5. Credit Enhancement Guarantee Scheme for Scheduled Castes (CEGSSC)</w:t>
      </w:r>
    </w:p>
    <w:p w:rsidR="000B7E87" w:rsidRPr="00556D17" w:rsidRDefault="000B7E87" w:rsidP="000B7E87">
      <w:pPr>
        <w:pStyle w:val="NormalWeb"/>
        <w:rPr>
          <w:rFonts w:ascii="Arial" w:hAnsi="Arial" w:cs="Arial"/>
          <w:bCs/>
          <w:color w:val="000000"/>
          <w:sz w:val="20"/>
          <w:szCs w:val="20"/>
        </w:rPr>
      </w:pPr>
      <w:r w:rsidRPr="00556D17">
        <w:rPr>
          <w:rFonts w:ascii="Arial" w:hAnsi="Arial" w:cs="Arial"/>
          <w:bCs/>
          <w:color w:val="000000"/>
          <w:sz w:val="20"/>
          <w:szCs w:val="20"/>
        </w:rPr>
        <w:t>6. Monitoring and Review</w:t>
      </w:r>
    </w:p>
    <w:p w:rsidR="000B7E87" w:rsidRPr="00556D17" w:rsidRDefault="000B7E87" w:rsidP="000B7E87">
      <w:pPr>
        <w:pStyle w:val="NormalWeb"/>
        <w:rPr>
          <w:rFonts w:ascii="Arial" w:hAnsi="Arial" w:cs="Arial"/>
          <w:color w:val="000000"/>
          <w:sz w:val="20"/>
          <w:szCs w:val="20"/>
        </w:rPr>
      </w:pPr>
      <w:r w:rsidRPr="00556D17">
        <w:rPr>
          <w:rFonts w:ascii="Arial" w:hAnsi="Arial" w:cs="Arial"/>
          <w:bCs/>
          <w:color w:val="000000"/>
          <w:sz w:val="20"/>
          <w:szCs w:val="20"/>
        </w:rPr>
        <w:t>7. Reporting Requirements</w:t>
      </w:r>
    </w:p>
    <w:p w:rsidR="000B7E87" w:rsidRDefault="000B7E87" w:rsidP="000B7E87">
      <w:pPr>
        <w:pStyle w:val="NormalWeb"/>
        <w:rPr>
          <w:rFonts w:ascii="Arial" w:hAnsi="Arial" w:cs="Arial"/>
          <w:color w:val="000000"/>
          <w:sz w:val="20"/>
          <w:szCs w:val="20"/>
        </w:rPr>
      </w:pPr>
      <w:r>
        <w:rPr>
          <w:rFonts w:ascii="Arial" w:hAnsi="Arial" w:cs="Arial"/>
          <w:color w:val="000000"/>
          <w:sz w:val="20"/>
          <w:szCs w:val="20"/>
        </w:rPr>
        <w:t>Yours faithfully,</w:t>
      </w:r>
    </w:p>
    <w:p w:rsidR="000B7E87" w:rsidRDefault="000B7E87" w:rsidP="000B7E87">
      <w:pPr>
        <w:pStyle w:val="NormalWeb"/>
        <w:rPr>
          <w:rFonts w:ascii="Arial" w:hAnsi="Arial" w:cs="Arial"/>
          <w:color w:val="000000"/>
          <w:sz w:val="20"/>
          <w:szCs w:val="20"/>
        </w:rPr>
      </w:pPr>
      <w:r>
        <w:rPr>
          <w:rFonts w:ascii="Arial" w:hAnsi="Arial" w:cs="Arial"/>
          <w:color w:val="000000"/>
          <w:sz w:val="20"/>
          <w:szCs w:val="20"/>
        </w:rPr>
        <w:t>(</w:t>
      </w:r>
      <w:proofErr w:type="spellStart"/>
      <w:r>
        <w:rPr>
          <w:rFonts w:ascii="Arial" w:hAnsi="Arial" w:cs="Arial"/>
          <w:color w:val="000000"/>
          <w:sz w:val="20"/>
          <w:szCs w:val="20"/>
        </w:rPr>
        <w:t>Nisha</w:t>
      </w:r>
      <w:proofErr w:type="spellEnd"/>
      <w:r>
        <w:rPr>
          <w:rFonts w:ascii="Arial" w:hAnsi="Arial" w:cs="Arial"/>
          <w:color w:val="000000"/>
          <w:sz w:val="20"/>
          <w:szCs w:val="20"/>
        </w:rPr>
        <w:t xml:space="preserve"> </w:t>
      </w:r>
      <w:proofErr w:type="spellStart"/>
      <w:r>
        <w:rPr>
          <w:rFonts w:ascii="Arial" w:hAnsi="Arial" w:cs="Arial"/>
          <w:color w:val="000000"/>
          <w:sz w:val="20"/>
          <w:szCs w:val="20"/>
        </w:rPr>
        <w:t>Nambiar</w:t>
      </w:r>
      <w:proofErr w:type="spellEnd"/>
      <w:r>
        <w:rPr>
          <w:rFonts w:ascii="Arial" w:hAnsi="Arial" w:cs="Arial"/>
          <w:color w:val="000000"/>
          <w:sz w:val="20"/>
          <w:szCs w:val="20"/>
        </w:rPr>
        <w:t>)</w:t>
      </w:r>
      <w:r>
        <w:rPr>
          <w:rFonts w:ascii="Arial" w:hAnsi="Arial" w:cs="Arial"/>
          <w:color w:val="000000"/>
          <w:sz w:val="20"/>
          <w:szCs w:val="20"/>
        </w:rPr>
        <w:br/>
        <w:t>Chief General Manager</w:t>
      </w:r>
    </w:p>
    <w:p w:rsidR="000B7E87" w:rsidRDefault="000B7E87" w:rsidP="000B7E87">
      <w:pPr>
        <w:rPr>
          <w:rFonts w:ascii="Arial" w:hAnsi="Arial" w:cs="Arial"/>
          <w:sz w:val="20"/>
          <w:szCs w:val="20"/>
        </w:rPr>
      </w:pPr>
    </w:p>
    <w:p w:rsidR="000B7E87" w:rsidRDefault="000B7E87" w:rsidP="000B7E87">
      <w:pPr>
        <w:rPr>
          <w:rFonts w:ascii="Arial" w:hAnsi="Arial" w:cs="Arial"/>
          <w:sz w:val="20"/>
          <w:szCs w:val="20"/>
        </w:rPr>
      </w:pPr>
    </w:p>
    <w:p w:rsidR="000B7E87" w:rsidRDefault="000B7E87" w:rsidP="000B7E87">
      <w:pPr>
        <w:rPr>
          <w:rFonts w:ascii="Arial" w:hAnsi="Arial" w:cs="Arial"/>
          <w:sz w:val="20"/>
          <w:szCs w:val="20"/>
        </w:rPr>
      </w:pPr>
    </w:p>
    <w:p w:rsidR="000B7E87" w:rsidRDefault="000B7E87" w:rsidP="000B7E87">
      <w:r>
        <w:t>More details can be referred to in the below link.</w:t>
      </w:r>
    </w:p>
    <w:p w:rsidR="00BA0C06" w:rsidRDefault="000B7E87" w:rsidP="000B7E87">
      <w:pPr>
        <w:rPr>
          <w:rFonts w:ascii="Arial" w:hAnsi="Arial" w:cs="Arial"/>
          <w:bCs/>
          <w:color w:val="000000"/>
          <w:sz w:val="20"/>
          <w:szCs w:val="20"/>
        </w:rPr>
      </w:pPr>
      <w:r>
        <w:rPr>
          <w:rFonts w:ascii="Arial" w:hAnsi="Arial" w:cs="Arial"/>
          <w:bCs/>
          <w:color w:val="000000"/>
          <w:sz w:val="20"/>
          <w:szCs w:val="20"/>
        </w:rPr>
        <w:t xml:space="preserve">Reference Link: </w:t>
      </w:r>
      <w:hyperlink r:id="rId41" w:history="1">
        <w:r w:rsidRPr="006865D6">
          <w:rPr>
            <w:rStyle w:val="Hyperlink"/>
            <w:rFonts w:ascii="Arial" w:hAnsi="Arial" w:cs="Arial"/>
            <w:bCs/>
            <w:sz w:val="20"/>
            <w:szCs w:val="20"/>
          </w:rPr>
          <w:t>https://www.rbi.org.in/scripts/NotificationUser.aspx?Id=12365&amp;Mode=0</w:t>
        </w:r>
      </w:hyperlink>
    </w:p>
    <w:p w:rsidR="00BA0C06" w:rsidRDefault="00BA0C06" w:rsidP="00BA0C06">
      <w:pPr>
        <w:jc w:val="both"/>
        <w:rPr>
          <w:rFonts w:ascii="Arial" w:hAnsi="Arial" w:cs="Arial"/>
          <w:b/>
          <w:bCs/>
          <w:color w:val="000000"/>
          <w:sz w:val="20"/>
          <w:szCs w:val="20"/>
        </w:rPr>
      </w:pPr>
    </w:p>
    <w:p w:rsidR="00BA0C06" w:rsidRDefault="00BA0C06" w:rsidP="00BA0C06">
      <w:pPr>
        <w:jc w:val="both"/>
        <w:rPr>
          <w:rFonts w:ascii="Arial" w:hAnsi="Arial" w:cs="Arial"/>
          <w:b/>
          <w:bCs/>
          <w:color w:val="000000"/>
          <w:sz w:val="20"/>
          <w:szCs w:val="20"/>
        </w:rPr>
      </w:pPr>
    </w:p>
    <w:p w:rsidR="00BA0C06" w:rsidRDefault="00BA0C06" w:rsidP="00BA0C06">
      <w:pPr>
        <w:jc w:val="both"/>
        <w:rPr>
          <w:rFonts w:ascii="Arial" w:hAnsi="Arial" w:cs="Arial"/>
          <w:b/>
          <w:bCs/>
          <w:color w:val="000000"/>
          <w:sz w:val="20"/>
          <w:szCs w:val="20"/>
        </w:rPr>
      </w:pPr>
    </w:p>
    <w:p w:rsidR="00BA0C06" w:rsidRDefault="00BA0C06" w:rsidP="00BA0C06">
      <w:pPr>
        <w:jc w:val="both"/>
        <w:rPr>
          <w:rFonts w:ascii="Arial" w:hAnsi="Arial" w:cs="Arial"/>
          <w:b/>
          <w:bCs/>
          <w:color w:val="000000"/>
          <w:sz w:val="20"/>
          <w:szCs w:val="20"/>
        </w:rPr>
      </w:pPr>
    </w:p>
    <w:p w:rsidR="00BA0C06" w:rsidRDefault="00BA0C06" w:rsidP="00BA0C06">
      <w:pPr>
        <w:jc w:val="both"/>
        <w:rPr>
          <w:rFonts w:ascii="Arial" w:hAnsi="Arial" w:cs="Arial"/>
          <w:b/>
          <w:bCs/>
          <w:color w:val="000000"/>
          <w:sz w:val="20"/>
          <w:szCs w:val="20"/>
        </w:rPr>
      </w:pPr>
    </w:p>
    <w:p w:rsidR="00BA0C06" w:rsidRDefault="00BA0C06" w:rsidP="00BA0C06">
      <w:pPr>
        <w:jc w:val="both"/>
        <w:rPr>
          <w:rFonts w:ascii="Arial" w:hAnsi="Arial" w:cs="Arial"/>
          <w:b/>
          <w:bCs/>
          <w:color w:val="000000"/>
          <w:sz w:val="20"/>
          <w:szCs w:val="20"/>
        </w:rPr>
      </w:pPr>
    </w:p>
    <w:p w:rsidR="00BA0C06" w:rsidRDefault="00BA0C06" w:rsidP="00BA0C06">
      <w:pPr>
        <w:jc w:val="both"/>
        <w:rPr>
          <w:rFonts w:ascii="Arial" w:hAnsi="Arial" w:cs="Arial"/>
          <w:b/>
          <w:bCs/>
          <w:color w:val="000000"/>
          <w:sz w:val="20"/>
          <w:szCs w:val="20"/>
        </w:rPr>
      </w:pPr>
    </w:p>
    <w:p w:rsidR="00BA0C06" w:rsidRPr="00583041" w:rsidRDefault="00BA0C06" w:rsidP="00BA0C06">
      <w:pPr>
        <w:spacing w:line="240" w:lineRule="auto"/>
        <w:rPr>
          <w:rFonts w:ascii="Arial" w:hAnsi="Arial" w:cs="Arial"/>
          <w:sz w:val="20"/>
          <w:szCs w:val="20"/>
        </w:rPr>
      </w:pPr>
      <w:r w:rsidRPr="00583041">
        <w:rPr>
          <w:rFonts w:ascii="Arial" w:hAnsi="Arial" w:cs="Arial"/>
          <w:b/>
          <w:bCs/>
          <w:sz w:val="20"/>
          <w:szCs w:val="20"/>
        </w:rPr>
        <w:t>External Commercial Borrowings (ECB) Policy – Liberalisation Measures</w:t>
      </w:r>
    </w:p>
    <w:tbl>
      <w:tblPr>
        <w:tblW w:w="5000" w:type="pct"/>
        <w:jc w:val="center"/>
        <w:tblCellMar>
          <w:top w:w="15" w:type="dxa"/>
          <w:left w:w="15" w:type="dxa"/>
          <w:bottom w:w="15" w:type="dxa"/>
          <w:right w:w="15" w:type="dxa"/>
        </w:tblCellMar>
        <w:tblLook w:val="04A0" w:firstRow="1" w:lastRow="0" w:firstColumn="1" w:lastColumn="0" w:noHBand="0" w:noVBand="1"/>
      </w:tblPr>
      <w:tblGrid>
        <w:gridCol w:w="9026"/>
      </w:tblGrid>
      <w:tr w:rsidR="00BA0C06" w:rsidRPr="00583041" w:rsidTr="00BA0C06">
        <w:trPr>
          <w:jc w:val="center"/>
        </w:trPr>
        <w:tc>
          <w:tcPr>
            <w:tcW w:w="0" w:type="auto"/>
            <w:tcBorders>
              <w:top w:val="nil"/>
              <w:left w:val="nil"/>
              <w:bottom w:val="nil"/>
              <w:right w:val="nil"/>
            </w:tcBorders>
            <w:tcMar>
              <w:top w:w="15" w:type="dxa"/>
              <w:left w:w="45" w:type="dxa"/>
              <w:bottom w:w="15" w:type="dxa"/>
              <w:right w:w="45" w:type="dxa"/>
            </w:tcMar>
            <w:vAlign w:val="center"/>
            <w:hideMark/>
          </w:tcPr>
          <w:p w:rsidR="00BA0C06" w:rsidRPr="00583041" w:rsidRDefault="00BA0C06" w:rsidP="00BA0C06">
            <w:pPr>
              <w:pStyle w:val="NormalWeb"/>
              <w:spacing w:before="0" w:beforeAutospacing="0"/>
              <w:rPr>
                <w:rFonts w:ascii="Arial" w:hAnsi="Arial" w:cs="Arial"/>
                <w:sz w:val="20"/>
                <w:szCs w:val="20"/>
              </w:rPr>
            </w:pPr>
            <w:r w:rsidRPr="00583041">
              <w:rPr>
                <w:rFonts w:ascii="Arial" w:hAnsi="Arial" w:cs="Arial"/>
                <w:sz w:val="20"/>
                <w:szCs w:val="20"/>
              </w:rPr>
              <w:t>RBI/2022-23/98</w:t>
            </w:r>
            <w:r w:rsidRPr="00583041">
              <w:rPr>
                <w:rFonts w:ascii="Arial" w:hAnsi="Arial" w:cs="Arial"/>
                <w:sz w:val="20"/>
                <w:szCs w:val="20"/>
              </w:rPr>
              <w:br/>
              <w:t>A.P. (DIR Series) Circular No. 11</w:t>
            </w:r>
          </w:p>
          <w:p w:rsidR="00BA0C06" w:rsidRPr="00583041" w:rsidRDefault="00BA0C06" w:rsidP="00BA0C06">
            <w:pPr>
              <w:pStyle w:val="NormalWeb"/>
              <w:spacing w:before="0" w:beforeAutospacing="0"/>
              <w:jc w:val="right"/>
              <w:rPr>
                <w:rFonts w:ascii="Arial" w:hAnsi="Arial" w:cs="Arial"/>
                <w:sz w:val="20"/>
                <w:szCs w:val="20"/>
              </w:rPr>
            </w:pPr>
            <w:r w:rsidRPr="00583041">
              <w:rPr>
                <w:rFonts w:ascii="Arial" w:hAnsi="Arial" w:cs="Arial"/>
                <w:sz w:val="20"/>
                <w:szCs w:val="20"/>
              </w:rPr>
              <w:t>August 1, 2022</w:t>
            </w:r>
          </w:p>
          <w:p w:rsidR="00BA0C06" w:rsidRPr="00583041" w:rsidRDefault="00BA0C06" w:rsidP="00BA0C06">
            <w:pPr>
              <w:pStyle w:val="NormalWeb"/>
              <w:spacing w:before="0" w:beforeAutospacing="0" w:after="0" w:afterAutospacing="0"/>
              <w:rPr>
                <w:rFonts w:ascii="Arial" w:hAnsi="Arial" w:cs="Arial"/>
                <w:sz w:val="20"/>
                <w:szCs w:val="20"/>
              </w:rPr>
            </w:pPr>
            <w:r w:rsidRPr="00583041">
              <w:rPr>
                <w:rFonts w:ascii="Arial" w:hAnsi="Arial" w:cs="Arial"/>
                <w:sz w:val="20"/>
                <w:szCs w:val="20"/>
              </w:rPr>
              <w:t>To</w:t>
            </w:r>
          </w:p>
          <w:p w:rsidR="00BA0C06" w:rsidRPr="00583041" w:rsidRDefault="00BA0C06" w:rsidP="00BA0C06">
            <w:pPr>
              <w:pStyle w:val="NormalWeb"/>
              <w:spacing w:before="0" w:beforeAutospacing="0" w:after="0" w:afterAutospacing="0"/>
              <w:rPr>
                <w:rFonts w:ascii="Arial" w:hAnsi="Arial" w:cs="Arial"/>
                <w:sz w:val="20"/>
                <w:szCs w:val="20"/>
              </w:rPr>
            </w:pPr>
            <w:r w:rsidRPr="00583041">
              <w:rPr>
                <w:rFonts w:ascii="Arial" w:hAnsi="Arial" w:cs="Arial"/>
                <w:sz w:val="20"/>
                <w:szCs w:val="20"/>
              </w:rPr>
              <w:t>All Category-I Authorised Dealer Banks</w:t>
            </w:r>
          </w:p>
          <w:p w:rsidR="00BA0C06" w:rsidRPr="00CE14AF" w:rsidRDefault="00BA0C06" w:rsidP="00BA0C06">
            <w:pPr>
              <w:pStyle w:val="NormalWeb"/>
              <w:spacing w:before="0" w:beforeAutospacing="0" w:after="0" w:afterAutospacing="0"/>
              <w:rPr>
                <w:rFonts w:ascii="Arial" w:hAnsi="Arial" w:cs="Arial"/>
                <w:sz w:val="20"/>
                <w:szCs w:val="20"/>
              </w:rPr>
            </w:pPr>
            <w:r w:rsidRPr="00583041">
              <w:rPr>
                <w:rFonts w:ascii="Arial" w:hAnsi="Arial" w:cs="Arial"/>
                <w:sz w:val="20"/>
                <w:szCs w:val="20"/>
              </w:rPr>
              <w:t>Madam / Sir,</w:t>
            </w:r>
          </w:p>
          <w:p w:rsidR="00BA0C06" w:rsidRPr="00583041" w:rsidRDefault="00BA0C06" w:rsidP="00BA0C06">
            <w:pPr>
              <w:pStyle w:val="head"/>
              <w:jc w:val="center"/>
              <w:rPr>
                <w:rFonts w:ascii="Arial" w:hAnsi="Arial" w:cs="Arial"/>
                <w:b/>
                <w:bCs/>
                <w:sz w:val="20"/>
                <w:szCs w:val="20"/>
              </w:rPr>
            </w:pPr>
            <w:r w:rsidRPr="00583041">
              <w:rPr>
                <w:rFonts w:ascii="Arial" w:hAnsi="Arial" w:cs="Arial"/>
                <w:b/>
                <w:bCs/>
                <w:sz w:val="20"/>
                <w:szCs w:val="20"/>
              </w:rPr>
              <w:t>External Commercial Borrowings (ECB) Policy – Liberalisation Measures</w:t>
            </w:r>
          </w:p>
          <w:p w:rsidR="00BA0C06" w:rsidRPr="00583041" w:rsidRDefault="00BA0C06" w:rsidP="00BA0C06">
            <w:pPr>
              <w:pStyle w:val="NormalWeb"/>
              <w:spacing w:before="0" w:beforeAutospacing="0"/>
              <w:rPr>
                <w:rFonts w:ascii="Arial" w:hAnsi="Arial" w:cs="Arial"/>
                <w:sz w:val="20"/>
                <w:szCs w:val="20"/>
              </w:rPr>
            </w:pPr>
            <w:r w:rsidRPr="00583041">
              <w:rPr>
                <w:rFonts w:ascii="Arial" w:hAnsi="Arial" w:cs="Arial"/>
                <w:sz w:val="20"/>
                <w:szCs w:val="20"/>
              </w:rPr>
              <w:t>Attention is invited to paragraph 2.2 of </w:t>
            </w:r>
            <w:hyperlink r:id="rId42" w:tgtFrame="_blank" w:history="1">
              <w:r w:rsidRPr="00583041">
                <w:rPr>
                  <w:rStyle w:val="Hyperlink"/>
                  <w:rFonts w:ascii="Arial" w:hAnsi="Arial" w:cs="Arial"/>
                  <w:sz w:val="20"/>
                  <w:szCs w:val="20"/>
                </w:rPr>
                <w:t>FED Master Direction No.5 on External Commercial Borrowings, Trade Credits and Structured Obligations, dated March 26, 2019</w:t>
              </w:r>
            </w:hyperlink>
            <w:r w:rsidRPr="00583041">
              <w:rPr>
                <w:rFonts w:ascii="Arial" w:hAnsi="Arial" w:cs="Arial"/>
                <w:sz w:val="20"/>
                <w:szCs w:val="20"/>
              </w:rPr>
              <w:t> (as amended from time to time), in terms of which eligible ECB borrowers are allowed to raise ECB up to USD 750 million or equivalent per financial year under the automatic route, and paragraph 2.1.vi. ibid, wherein the all-in-cost ceiling for ECBs has been specified.</w:t>
            </w:r>
          </w:p>
          <w:p w:rsidR="00BA0C06" w:rsidRPr="00583041" w:rsidRDefault="00BA0C06" w:rsidP="00BA0C06">
            <w:pPr>
              <w:pStyle w:val="NormalWeb"/>
              <w:spacing w:before="0" w:beforeAutospacing="0"/>
              <w:rPr>
                <w:rFonts w:ascii="Arial" w:hAnsi="Arial" w:cs="Arial"/>
                <w:sz w:val="20"/>
                <w:szCs w:val="20"/>
              </w:rPr>
            </w:pPr>
            <w:r w:rsidRPr="00583041">
              <w:rPr>
                <w:rFonts w:ascii="Arial" w:hAnsi="Arial" w:cs="Arial"/>
                <w:sz w:val="20"/>
                <w:szCs w:val="20"/>
              </w:rPr>
              <w:t>2. As announced in paragraph five of the </w:t>
            </w:r>
            <w:hyperlink r:id="rId43" w:tgtFrame="_blank" w:history="1">
              <w:r w:rsidRPr="00583041">
                <w:rPr>
                  <w:rStyle w:val="Hyperlink"/>
                  <w:rFonts w:ascii="Arial" w:hAnsi="Arial" w:cs="Arial"/>
                  <w:sz w:val="20"/>
                  <w:szCs w:val="20"/>
                </w:rPr>
                <w:t>press release on “Liberalisation of Forex Flows” dated July 06, 2022</w:t>
              </w:r>
            </w:hyperlink>
            <w:r w:rsidRPr="00583041">
              <w:rPr>
                <w:rFonts w:ascii="Arial" w:hAnsi="Arial" w:cs="Arial"/>
                <w:sz w:val="20"/>
                <w:szCs w:val="20"/>
              </w:rPr>
              <w:t>, it has been decided, in consultation with the Central Government, to:</w:t>
            </w:r>
          </w:p>
          <w:p w:rsidR="00BA0C06" w:rsidRPr="00583041" w:rsidRDefault="00BA0C06" w:rsidP="00BA0C06">
            <w:pPr>
              <w:pStyle w:val="NormalWeb"/>
              <w:spacing w:before="0" w:beforeAutospacing="0"/>
              <w:rPr>
                <w:rFonts w:ascii="Arial" w:hAnsi="Arial" w:cs="Arial"/>
                <w:sz w:val="20"/>
                <w:szCs w:val="20"/>
              </w:rPr>
            </w:pPr>
            <w:r w:rsidRPr="00583041">
              <w:rPr>
                <w:rFonts w:ascii="Arial" w:hAnsi="Arial" w:cs="Arial"/>
                <w:sz w:val="20"/>
                <w:szCs w:val="20"/>
              </w:rPr>
              <w:t>i) increase the automatic route limit from USD 750 million or equivalent to USD 1.5 billion or equivalent.</w:t>
            </w:r>
          </w:p>
          <w:p w:rsidR="00BA0C06" w:rsidRPr="00583041" w:rsidRDefault="00BA0C06" w:rsidP="00BA0C06">
            <w:pPr>
              <w:pStyle w:val="NormalWeb"/>
              <w:spacing w:before="0" w:beforeAutospacing="0"/>
              <w:rPr>
                <w:rFonts w:ascii="Arial" w:hAnsi="Arial" w:cs="Arial"/>
                <w:sz w:val="20"/>
                <w:szCs w:val="20"/>
              </w:rPr>
            </w:pPr>
            <w:r w:rsidRPr="00583041">
              <w:rPr>
                <w:rFonts w:ascii="Arial" w:hAnsi="Arial" w:cs="Arial"/>
                <w:sz w:val="20"/>
                <w:szCs w:val="20"/>
              </w:rPr>
              <w:t>ii) increase the all-in-cost ceiling for ECBs, by 100 bps. The enhanced all-in-cost ceiling shall be available only to eligible borrowers of investment grade rating from Indian Credit Rating Agencies (CRAs). Other eligible borrowers may raise ECB within the existing all-in-cost ceiling, as hitherto.</w:t>
            </w:r>
          </w:p>
          <w:p w:rsidR="00BA0C06" w:rsidRPr="00583041" w:rsidRDefault="00BA0C06" w:rsidP="00BA0C06">
            <w:pPr>
              <w:pStyle w:val="NormalWeb"/>
              <w:spacing w:before="0" w:beforeAutospacing="0"/>
              <w:rPr>
                <w:rFonts w:ascii="Arial" w:hAnsi="Arial" w:cs="Arial"/>
                <w:sz w:val="20"/>
                <w:szCs w:val="20"/>
              </w:rPr>
            </w:pPr>
            <w:r w:rsidRPr="00583041">
              <w:rPr>
                <w:rFonts w:ascii="Arial" w:hAnsi="Arial" w:cs="Arial"/>
                <w:sz w:val="20"/>
                <w:szCs w:val="20"/>
              </w:rPr>
              <w:t>The above relaxations would be available for ECBs to be raised till December 31, 2022.</w:t>
            </w:r>
          </w:p>
          <w:p w:rsidR="00BA0C06" w:rsidRPr="00583041" w:rsidRDefault="00BA0C06" w:rsidP="00BA0C06">
            <w:pPr>
              <w:pStyle w:val="NormalWeb"/>
              <w:spacing w:before="0" w:beforeAutospacing="0"/>
              <w:rPr>
                <w:rFonts w:ascii="Arial" w:hAnsi="Arial" w:cs="Arial"/>
                <w:sz w:val="20"/>
                <w:szCs w:val="20"/>
              </w:rPr>
            </w:pPr>
            <w:r w:rsidRPr="00583041">
              <w:rPr>
                <w:rFonts w:ascii="Arial" w:hAnsi="Arial" w:cs="Arial"/>
                <w:sz w:val="20"/>
                <w:szCs w:val="20"/>
              </w:rPr>
              <w:t>3. AD Category-I banks may bring the contents of this circular to the notice of their constituents and customers.</w:t>
            </w:r>
          </w:p>
          <w:p w:rsidR="00BA0C06" w:rsidRPr="00583041" w:rsidRDefault="00BA0C06" w:rsidP="00BA0C06">
            <w:pPr>
              <w:pStyle w:val="NormalWeb"/>
              <w:spacing w:before="0" w:beforeAutospacing="0"/>
              <w:rPr>
                <w:rFonts w:ascii="Arial" w:hAnsi="Arial" w:cs="Arial"/>
                <w:sz w:val="20"/>
                <w:szCs w:val="20"/>
              </w:rPr>
            </w:pPr>
            <w:r w:rsidRPr="00583041">
              <w:rPr>
                <w:rFonts w:ascii="Arial" w:hAnsi="Arial" w:cs="Arial"/>
                <w:sz w:val="20"/>
                <w:szCs w:val="20"/>
              </w:rPr>
              <w:t>4. The aforesaid Master Direction No. 5, is being updated to reflect these changes.</w:t>
            </w:r>
          </w:p>
          <w:p w:rsidR="00BA0C06" w:rsidRPr="00583041" w:rsidRDefault="00BA0C06" w:rsidP="00BA0C06">
            <w:pPr>
              <w:pStyle w:val="NormalWeb"/>
              <w:spacing w:before="0" w:beforeAutospacing="0"/>
              <w:rPr>
                <w:rFonts w:ascii="Arial" w:hAnsi="Arial" w:cs="Arial"/>
                <w:sz w:val="20"/>
                <w:szCs w:val="20"/>
              </w:rPr>
            </w:pPr>
            <w:r w:rsidRPr="00583041">
              <w:rPr>
                <w:rFonts w:ascii="Arial" w:hAnsi="Arial" w:cs="Arial"/>
                <w:sz w:val="20"/>
                <w:szCs w:val="20"/>
              </w:rPr>
              <w:t>5. Necessary amendments to the relevant regulations have been made through </w:t>
            </w:r>
            <w:r w:rsidRPr="00583041">
              <w:rPr>
                <w:rFonts w:ascii="Arial" w:hAnsi="Arial" w:cs="Arial"/>
                <w:sz w:val="20"/>
                <w:szCs w:val="20"/>
                <w:u w:val="single"/>
              </w:rPr>
              <w:t>the Foreign Exchange Management (Borrowing and Lending) (Amendment) Regulations, 2022, notified vide </w:t>
            </w:r>
            <w:hyperlink r:id="rId44" w:tgtFrame="_blank" w:history="1">
              <w:r w:rsidRPr="00583041">
                <w:rPr>
                  <w:rStyle w:val="Hyperlink"/>
                  <w:rFonts w:ascii="Arial" w:hAnsi="Arial" w:cs="Arial"/>
                  <w:sz w:val="20"/>
                  <w:szCs w:val="20"/>
                </w:rPr>
                <w:t>notification No. FEMA.3(R)(3)/2022-RB dated July 29, 2022</w:t>
              </w:r>
            </w:hyperlink>
            <w:r w:rsidRPr="00583041">
              <w:rPr>
                <w:rFonts w:ascii="Arial" w:hAnsi="Arial" w:cs="Arial"/>
                <w:sz w:val="20"/>
                <w:szCs w:val="20"/>
              </w:rPr>
              <w:t>.</w:t>
            </w:r>
          </w:p>
          <w:p w:rsidR="00BA0C06" w:rsidRPr="00583041" w:rsidRDefault="00BA0C06" w:rsidP="00BA0C06">
            <w:pPr>
              <w:pStyle w:val="NormalWeb"/>
              <w:spacing w:before="0" w:beforeAutospacing="0"/>
              <w:rPr>
                <w:rFonts w:ascii="Arial" w:hAnsi="Arial" w:cs="Arial"/>
                <w:sz w:val="20"/>
                <w:szCs w:val="20"/>
              </w:rPr>
            </w:pPr>
            <w:r w:rsidRPr="00583041">
              <w:rPr>
                <w:rFonts w:ascii="Arial" w:hAnsi="Arial" w:cs="Arial"/>
                <w:sz w:val="20"/>
                <w:szCs w:val="20"/>
              </w:rPr>
              <w:t>6. The directions contained in this circular have been issued under section 10(4) and 11(2) of the Foreign Exchange Management Act, 1999 (42 of 1999) and are without prejudice to permissions/ approvals, if any, required under any other law.</w:t>
            </w:r>
          </w:p>
          <w:p w:rsidR="00BA0C06" w:rsidRPr="00583041" w:rsidRDefault="00BA0C06" w:rsidP="00BA0C06">
            <w:pPr>
              <w:pStyle w:val="NormalWeb"/>
              <w:spacing w:after="0" w:afterAutospacing="0"/>
              <w:rPr>
                <w:rFonts w:ascii="Arial" w:hAnsi="Arial" w:cs="Arial"/>
                <w:sz w:val="20"/>
                <w:szCs w:val="20"/>
              </w:rPr>
            </w:pPr>
            <w:r w:rsidRPr="00583041">
              <w:rPr>
                <w:rFonts w:ascii="Arial" w:hAnsi="Arial" w:cs="Arial"/>
                <w:sz w:val="20"/>
                <w:szCs w:val="20"/>
              </w:rPr>
              <w:t>Yours faithfully,</w:t>
            </w:r>
          </w:p>
          <w:p w:rsidR="00BA0C06" w:rsidRPr="00583041" w:rsidRDefault="00BA0C06" w:rsidP="00BA0C06">
            <w:pPr>
              <w:pStyle w:val="NormalWeb"/>
              <w:rPr>
                <w:rFonts w:ascii="Arial" w:hAnsi="Arial" w:cs="Arial"/>
                <w:sz w:val="20"/>
                <w:szCs w:val="20"/>
              </w:rPr>
            </w:pPr>
            <w:r w:rsidRPr="00583041">
              <w:rPr>
                <w:rFonts w:ascii="Arial" w:hAnsi="Arial" w:cs="Arial"/>
                <w:sz w:val="20"/>
                <w:szCs w:val="20"/>
              </w:rPr>
              <w:t xml:space="preserve">(Ajay Kumar </w:t>
            </w:r>
            <w:proofErr w:type="spellStart"/>
            <w:r w:rsidRPr="00583041">
              <w:rPr>
                <w:rFonts w:ascii="Arial" w:hAnsi="Arial" w:cs="Arial"/>
                <w:sz w:val="20"/>
                <w:szCs w:val="20"/>
              </w:rPr>
              <w:t>Misra</w:t>
            </w:r>
            <w:proofErr w:type="spellEnd"/>
            <w:r w:rsidRPr="00583041">
              <w:rPr>
                <w:rFonts w:ascii="Arial" w:hAnsi="Arial" w:cs="Arial"/>
                <w:sz w:val="20"/>
                <w:szCs w:val="20"/>
              </w:rPr>
              <w:t>)</w:t>
            </w:r>
            <w:r w:rsidRPr="00583041">
              <w:rPr>
                <w:rFonts w:ascii="Arial" w:hAnsi="Arial" w:cs="Arial"/>
                <w:sz w:val="20"/>
                <w:szCs w:val="20"/>
              </w:rPr>
              <w:br/>
              <w:t>Chief General Manager-in-Charge</w:t>
            </w:r>
          </w:p>
        </w:tc>
      </w:tr>
    </w:tbl>
    <w:p w:rsidR="00BA0C06" w:rsidRDefault="00BA0C06" w:rsidP="00BA0C06"/>
    <w:p w:rsidR="00BA0C06" w:rsidRDefault="00BA0C06" w:rsidP="00BA0C06">
      <w:pPr>
        <w:spacing w:after="0"/>
      </w:pPr>
      <w:r>
        <w:t>More details can be referred to in the below link.</w:t>
      </w:r>
    </w:p>
    <w:p w:rsidR="00BA0C06" w:rsidRDefault="00BA0C06" w:rsidP="00BA0C06">
      <w:pPr>
        <w:rPr>
          <w:rFonts w:ascii="Arial" w:hAnsi="Arial" w:cs="Arial"/>
          <w:sz w:val="20"/>
          <w:szCs w:val="20"/>
        </w:rPr>
      </w:pPr>
      <w:r>
        <w:rPr>
          <w:rFonts w:ascii="Arial" w:hAnsi="Arial" w:cs="Arial"/>
          <w:sz w:val="20"/>
          <w:szCs w:val="20"/>
        </w:rPr>
        <w:t xml:space="preserve">Reference Link: </w:t>
      </w:r>
      <w:hyperlink r:id="rId45" w:history="1">
        <w:r w:rsidRPr="00200311">
          <w:rPr>
            <w:rStyle w:val="Hyperlink"/>
            <w:rFonts w:ascii="Arial" w:hAnsi="Arial" w:cs="Arial"/>
            <w:sz w:val="20"/>
            <w:szCs w:val="20"/>
          </w:rPr>
          <w:t>https://www.rbi.org.in/Scripts/NotificationUser.aspx?Id=12366&amp;Mode=0</w:t>
        </w:r>
      </w:hyperlink>
    </w:p>
    <w:p w:rsidR="00BA0C06" w:rsidRDefault="00BA0C06" w:rsidP="00BA0C06">
      <w:pPr>
        <w:jc w:val="both"/>
        <w:rPr>
          <w:rFonts w:ascii="Arial" w:hAnsi="Arial" w:cs="Arial"/>
          <w:b/>
          <w:bCs/>
          <w:color w:val="000000"/>
          <w:sz w:val="20"/>
          <w:szCs w:val="20"/>
        </w:rPr>
      </w:pPr>
    </w:p>
    <w:p w:rsidR="00BA0C06" w:rsidRDefault="00BA0C06" w:rsidP="00BA0C06">
      <w:pPr>
        <w:jc w:val="both"/>
        <w:rPr>
          <w:rFonts w:ascii="Arial" w:hAnsi="Arial" w:cs="Arial"/>
          <w:b/>
          <w:bCs/>
          <w:color w:val="000000"/>
          <w:sz w:val="20"/>
          <w:szCs w:val="20"/>
        </w:rPr>
      </w:pPr>
    </w:p>
    <w:p w:rsidR="00BA0C06" w:rsidRDefault="00BA0C06" w:rsidP="00BA0C06">
      <w:pPr>
        <w:jc w:val="both"/>
        <w:rPr>
          <w:rFonts w:ascii="Arial" w:hAnsi="Arial" w:cs="Arial"/>
          <w:b/>
          <w:bCs/>
          <w:color w:val="000000"/>
          <w:sz w:val="20"/>
          <w:szCs w:val="20"/>
        </w:rPr>
      </w:pPr>
    </w:p>
    <w:p w:rsidR="00BA0C06" w:rsidRDefault="00BA0C06" w:rsidP="00BA0C06">
      <w:pPr>
        <w:pStyle w:val="NormalWeb"/>
        <w:rPr>
          <w:rFonts w:ascii="Arial" w:hAnsi="Arial" w:cs="Arial"/>
          <w:color w:val="000000"/>
          <w:sz w:val="20"/>
          <w:szCs w:val="20"/>
        </w:rPr>
      </w:pPr>
      <w:r>
        <w:rPr>
          <w:rFonts w:ascii="Arial" w:hAnsi="Arial" w:cs="Arial"/>
          <w:b/>
          <w:bCs/>
          <w:color w:val="000000"/>
          <w:sz w:val="20"/>
          <w:szCs w:val="20"/>
        </w:rPr>
        <w:t>Master Circular on Credit Facilities to Minority Communities</w:t>
      </w:r>
    </w:p>
    <w:p w:rsidR="00BA0C06" w:rsidRDefault="00BA0C06" w:rsidP="00BA0C06">
      <w:pPr>
        <w:pStyle w:val="NormalWeb"/>
        <w:rPr>
          <w:rFonts w:ascii="Arial" w:hAnsi="Arial" w:cs="Arial"/>
          <w:color w:val="000000"/>
          <w:sz w:val="20"/>
          <w:szCs w:val="20"/>
        </w:rPr>
      </w:pPr>
      <w:r>
        <w:rPr>
          <w:rFonts w:ascii="Arial" w:hAnsi="Arial" w:cs="Arial"/>
          <w:color w:val="000000"/>
          <w:sz w:val="20"/>
          <w:szCs w:val="20"/>
        </w:rPr>
        <w:t>RBI/2022-23/99</w:t>
      </w:r>
      <w:r>
        <w:rPr>
          <w:rFonts w:ascii="Arial" w:hAnsi="Arial" w:cs="Arial"/>
          <w:color w:val="000000"/>
          <w:sz w:val="20"/>
          <w:szCs w:val="20"/>
        </w:rPr>
        <w:br/>
        <w:t>FIDD.GSSD.BC.No.11/09.10.001/2022-23</w:t>
      </w:r>
    </w:p>
    <w:p w:rsidR="00BA0C06" w:rsidRDefault="00BA0C06" w:rsidP="00BA0C06">
      <w:pPr>
        <w:pStyle w:val="NormalWeb"/>
        <w:jc w:val="right"/>
        <w:rPr>
          <w:rFonts w:ascii="Arial" w:hAnsi="Arial" w:cs="Arial"/>
          <w:color w:val="000000"/>
          <w:sz w:val="20"/>
          <w:szCs w:val="20"/>
        </w:rPr>
      </w:pPr>
      <w:r>
        <w:rPr>
          <w:rFonts w:ascii="Arial" w:hAnsi="Arial" w:cs="Arial"/>
          <w:color w:val="000000"/>
          <w:sz w:val="20"/>
          <w:szCs w:val="20"/>
        </w:rPr>
        <w:t>August 2, 2022</w:t>
      </w:r>
    </w:p>
    <w:p w:rsidR="00BA0C06" w:rsidRDefault="00BA0C06" w:rsidP="00BA0C06">
      <w:pPr>
        <w:pStyle w:val="NormalWeb"/>
        <w:rPr>
          <w:rFonts w:ascii="Arial" w:hAnsi="Arial" w:cs="Arial"/>
          <w:color w:val="000000"/>
          <w:sz w:val="20"/>
          <w:szCs w:val="20"/>
        </w:rPr>
      </w:pPr>
      <w:r>
        <w:rPr>
          <w:rFonts w:ascii="Arial" w:hAnsi="Arial" w:cs="Arial"/>
          <w:color w:val="000000"/>
          <w:sz w:val="20"/>
          <w:szCs w:val="20"/>
        </w:rPr>
        <w:t>The Chairman/Managing Director/Chief Executive Officer</w:t>
      </w:r>
      <w:r>
        <w:rPr>
          <w:rFonts w:ascii="Arial" w:hAnsi="Arial" w:cs="Arial"/>
          <w:color w:val="000000"/>
          <w:sz w:val="20"/>
          <w:szCs w:val="20"/>
        </w:rPr>
        <w:br/>
        <w:t>All Scheduled Commercial Banks</w:t>
      </w:r>
      <w:r>
        <w:rPr>
          <w:rFonts w:ascii="Arial" w:hAnsi="Arial" w:cs="Arial"/>
          <w:color w:val="000000"/>
          <w:sz w:val="20"/>
          <w:szCs w:val="20"/>
        </w:rPr>
        <w:br/>
        <w:t>(excluding RRBs and Foreign Banks with less than 20 branches)</w:t>
      </w:r>
    </w:p>
    <w:p w:rsidR="00BA0C06" w:rsidRDefault="00BA0C06" w:rsidP="00BA0C06">
      <w:pPr>
        <w:pStyle w:val="NormalWeb"/>
        <w:rPr>
          <w:rFonts w:ascii="Arial" w:hAnsi="Arial" w:cs="Arial"/>
          <w:color w:val="000000"/>
          <w:sz w:val="20"/>
          <w:szCs w:val="20"/>
        </w:rPr>
      </w:pPr>
      <w:r>
        <w:rPr>
          <w:rFonts w:ascii="Arial" w:hAnsi="Arial" w:cs="Arial"/>
          <w:color w:val="000000"/>
          <w:sz w:val="20"/>
          <w:szCs w:val="20"/>
        </w:rPr>
        <w:t>Madam/ Dear Sir,</w:t>
      </w:r>
    </w:p>
    <w:p w:rsidR="00BA0C06" w:rsidRDefault="00BA0C06" w:rsidP="00BA0C06">
      <w:pPr>
        <w:pStyle w:val="head"/>
        <w:rPr>
          <w:rFonts w:ascii="Arial" w:hAnsi="Arial" w:cs="Arial"/>
          <w:b/>
          <w:bCs/>
          <w:color w:val="000000"/>
          <w:sz w:val="20"/>
          <w:szCs w:val="20"/>
        </w:rPr>
      </w:pPr>
      <w:r>
        <w:rPr>
          <w:rFonts w:ascii="Arial" w:hAnsi="Arial" w:cs="Arial"/>
          <w:b/>
          <w:bCs/>
          <w:color w:val="000000"/>
          <w:sz w:val="20"/>
          <w:szCs w:val="20"/>
        </w:rPr>
        <w:t>Master Circular on Credit Facilities to Minority Communities</w:t>
      </w:r>
    </w:p>
    <w:p w:rsidR="000B7E87" w:rsidRPr="00184108" w:rsidRDefault="000B7E87" w:rsidP="000B7E87">
      <w:pPr>
        <w:pStyle w:val="NoSpacing"/>
      </w:pPr>
      <w:r>
        <w:t>The Reserve Bank of India has periodically issued guidelines/instructions/directives to banks with regard to providing credit facilities to Minority Communities. The </w:t>
      </w:r>
      <w:hyperlink r:id="rId46" w:anchor="MC" w:history="1">
        <w:r>
          <w:rPr>
            <w:rStyle w:val="Hyperlink"/>
            <w:rFonts w:ascii="Arial" w:hAnsi="Arial" w:cs="Arial"/>
            <w:sz w:val="20"/>
            <w:szCs w:val="20"/>
          </w:rPr>
          <w:t>Master Circular</w:t>
        </w:r>
      </w:hyperlink>
      <w:r>
        <w:t> consolidates the circulars issued by Reserve Bank on the subject till date, on the below points:</w:t>
      </w:r>
    </w:p>
    <w:p w:rsidR="000B7E87" w:rsidRDefault="000B7E87" w:rsidP="000B7E87">
      <w:pPr>
        <w:pStyle w:val="NoSpacing"/>
        <w:rPr>
          <w:bCs/>
        </w:rPr>
      </w:pPr>
    </w:p>
    <w:p w:rsidR="000B7E87" w:rsidRPr="00184108" w:rsidRDefault="000B7E87" w:rsidP="000B7E87">
      <w:pPr>
        <w:pStyle w:val="NoSpacing"/>
      </w:pPr>
      <w:r w:rsidRPr="00184108">
        <w:rPr>
          <w:bCs/>
        </w:rPr>
        <w:t>1. Credit Facilities to Minority Communities</w:t>
      </w:r>
    </w:p>
    <w:p w:rsidR="000B7E87" w:rsidRPr="00184108" w:rsidRDefault="000B7E87" w:rsidP="000B7E87">
      <w:pPr>
        <w:pStyle w:val="NoSpacing"/>
      </w:pPr>
      <w:r w:rsidRPr="00184108">
        <w:rPr>
          <w:bCs/>
        </w:rPr>
        <w:t>2. Definition of Minority Communities</w:t>
      </w:r>
    </w:p>
    <w:p w:rsidR="000B7E87" w:rsidRPr="00184108" w:rsidRDefault="000B7E87" w:rsidP="000B7E87">
      <w:pPr>
        <w:pStyle w:val="NoSpacing"/>
      </w:pPr>
      <w:r w:rsidRPr="00184108">
        <w:rPr>
          <w:bCs/>
        </w:rPr>
        <w:t>3. Creation of Special Cell and designating an exclusive Officer</w:t>
      </w:r>
    </w:p>
    <w:p w:rsidR="000B7E87" w:rsidRPr="00184108" w:rsidRDefault="000B7E87" w:rsidP="000B7E87">
      <w:pPr>
        <w:pStyle w:val="NoSpacing"/>
        <w:rPr>
          <w:bCs/>
        </w:rPr>
      </w:pPr>
      <w:r w:rsidRPr="00184108">
        <w:rPr>
          <w:bCs/>
        </w:rPr>
        <w:t>4. Role of Lead Banks</w:t>
      </w:r>
    </w:p>
    <w:p w:rsidR="000B7E87" w:rsidRPr="00184108" w:rsidRDefault="000B7E87" w:rsidP="000B7E87">
      <w:pPr>
        <w:pStyle w:val="NoSpacing"/>
      </w:pPr>
      <w:r w:rsidRPr="00184108">
        <w:rPr>
          <w:bCs/>
        </w:rPr>
        <w:t>5. Advances under DRI Scheme</w:t>
      </w:r>
    </w:p>
    <w:p w:rsidR="000B7E87" w:rsidRPr="00184108" w:rsidRDefault="000B7E87" w:rsidP="000B7E87">
      <w:pPr>
        <w:pStyle w:val="NoSpacing"/>
      </w:pPr>
      <w:r w:rsidRPr="00184108">
        <w:rPr>
          <w:bCs/>
        </w:rPr>
        <w:t>6. Monitoring</w:t>
      </w:r>
    </w:p>
    <w:p w:rsidR="000B7E87" w:rsidRPr="00184108" w:rsidRDefault="000B7E87" w:rsidP="000B7E87">
      <w:pPr>
        <w:pStyle w:val="NoSpacing"/>
      </w:pPr>
      <w:r w:rsidRPr="00184108">
        <w:rPr>
          <w:bCs/>
        </w:rPr>
        <w:t>7. Training</w:t>
      </w:r>
    </w:p>
    <w:p w:rsidR="000B7E87" w:rsidRPr="00184108" w:rsidRDefault="000B7E87" w:rsidP="000B7E87">
      <w:pPr>
        <w:pStyle w:val="NoSpacing"/>
        <w:rPr>
          <w:bCs/>
        </w:rPr>
      </w:pPr>
      <w:r w:rsidRPr="00184108">
        <w:rPr>
          <w:bCs/>
        </w:rPr>
        <w:t>8 Publicity</w:t>
      </w:r>
    </w:p>
    <w:p w:rsidR="000B7E87" w:rsidRPr="00184108" w:rsidRDefault="000B7E87" w:rsidP="000B7E87">
      <w:pPr>
        <w:pStyle w:val="NoSpacing"/>
      </w:pPr>
      <w:r w:rsidRPr="00184108">
        <w:rPr>
          <w:bCs/>
        </w:rPr>
        <w:t>9. National Minorities Development and Finance Corporation (NMDFC)</w:t>
      </w:r>
    </w:p>
    <w:p w:rsidR="000B7E87" w:rsidRPr="00184108" w:rsidRDefault="000B7E87" w:rsidP="000B7E87">
      <w:pPr>
        <w:pStyle w:val="NoSpacing"/>
      </w:pPr>
      <w:r w:rsidRPr="00184108">
        <w:rPr>
          <w:bCs/>
        </w:rPr>
        <w:t>10. Prime Minister’s New 15 Point Programme for the Welfare of Minorities</w:t>
      </w:r>
    </w:p>
    <w:p w:rsidR="000B7E87" w:rsidRDefault="000B7E87" w:rsidP="000B7E87">
      <w:pPr>
        <w:pStyle w:val="NormalWeb"/>
        <w:rPr>
          <w:rFonts w:ascii="Arial" w:hAnsi="Arial" w:cs="Arial"/>
          <w:color w:val="000000"/>
          <w:sz w:val="20"/>
          <w:szCs w:val="20"/>
        </w:rPr>
      </w:pPr>
    </w:p>
    <w:p w:rsidR="000B7E87" w:rsidRDefault="000B7E87" w:rsidP="000B7E87">
      <w:pPr>
        <w:pStyle w:val="NormalWeb"/>
        <w:rPr>
          <w:rFonts w:ascii="Arial" w:hAnsi="Arial" w:cs="Arial"/>
          <w:color w:val="000000"/>
          <w:sz w:val="20"/>
          <w:szCs w:val="20"/>
        </w:rPr>
      </w:pPr>
      <w:r>
        <w:rPr>
          <w:rFonts w:ascii="Arial" w:hAnsi="Arial" w:cs="Arial"/>
          <w:color w:val="000000"/>
          <w:sz w:val="20"/>
          <w:szCs w:val="20"/>
        </w:rPr>
        <w:t>Yours faithfully,</w:t>
      </w:r>
    </w:p>
    <w:p w:rsidR="000B7E87" w:rsidRDefault="000B7E87" w:rsidP="000B7E87">
      <w:pPr>
        <w:pStyle w:val="NormalWeb"/>
        <w:rPr>
          <w:rFonts w:ascii="Arial" w:hAnsi="Arial" w:cs="Arial"/>
          <w:color w:val="000000"/>
          <w:sz w:val="20"/>
          <w:szCs w:val="20"/>
        </w:rPr>
      </w:pPr>
      <w:r>
        <w:rPr>
          <w:rFonts w:ascii="Arial" w:hAnsi="Arial" w:cs="Arial"/>
          <w:color w:val="000000"/>
          <w:sz w:val="20"/>
          <w:szCs w:val="20"/>
        </w:rPr>
        <w:t>(</w:t>
      </w:r>
      <w:proofErr w:type="spellStart"/>
      <w:r>
        <w:rPr>
          <w:rFonts w:ascii="Arial" w:hAnsi="Arial" w:cs="Arial"/>
          <w:color w:val="000000"/>
          <w:sz w:val="20"/>
          <w:szCs w:val="20"/>
        </w:rPr>
        <w:t>Nisha</w:t>
      </w:r>
      <w:proofErr w:type="spellEnd"/>
      <w:r>
        <w:rPr>
          <w:rFonts w:ascii="Arial" w:hAnsi="Arial" w:cs="Arial"/>
          <w:color w:val="000000"/>
          <w:sz w:val="20"/>
          <w:szCs w:val="20"/>
        </w:rPr>
        <w:t xml:space="preserve"> </w:t>
      </w:r>
      <w:proofErr w:type="spellStart"/>
      <w:r>
        <w:rPr>
          <w:rFonts w:ascii="Arial" w:hAnsi="Arial" w:cs="Arial"/>
          <w:color w:val="000000"/>
          <w:sz w:val="20"/>
          <w:szCs w:val="20"/>
        </w:rPr>
        <w:t>Nambiar</w:t>
      </w:r>
      <w:proofErr w:type="spellEnd"/>
      <w:r>
        <w:rPr>
          <w:rFonts w:ascii="Arial" w:hAnsi="Arial" w:cs="Arial"/>
          <w:color w:val="000000"/>
          <w:sz w:val="20"/>
          <w:szCs w:val="20"/>
        </w:rPr>
        <w:t>)</w:t>
      </w:r>
      <w:r>
        <w:rPr>
          <w:rFonts w:ascii="Arial" w:hAnsi="Arial" w:cs="Arial"/>
          <w:color w:val="000000"/>
          <w:sz w:val="20"/>
          <w:szCs w:val="20"/>
        </w:rPr>
        <w:br/>
        <w:t>Chief General Manager</w:t>
      </w:r>
    </w:p>
    <w:p w:rsidR="000B7E87" w:rsidRDefault="000B7E87" w:rsidP="000B7E87">
      <w:pPr>
        <w:rPr>
          <w:rFonts w:ascii="Arial" w:hAnsi="Arial" w:cs="Arial"/>
          <w:sz w:val="20"/>
          <w:szCs w:val="20"/>
        </w:rPr>
      </w:pPr>
    </w:p>
    <w:p w:rsidR="000B7E87" w:rsidRDefault="000B7E87" w:rsidP="000B7E87">
      <w:pPr>
        <w:rPr>
          <w:rFonts w:ascii="Arial" w:hAnsi="Arial" w:cs="Arial"/>
          <w:sz w:val="20"/>
          <w:szCs w:val="20"/>
        </w:rPr>
      </w:pPr>
    </w:p>
    <w:p w:rsidR="000B7E87" w:rsidRDefault="000B7E87" w:rsidP="000B7E87">
      <w:r>
        <w:t>More details can be referred to in the below link.</w:t>
      </w:r>
    </w:p>
    <w:p w:rsidR="000B7E87" w:rsidRDefault="000B7E87" w:rsidP="000B7E87">
      <w:pPr>
        <w:rPr>
          <w:rFonts w:ascii="Arial" w:hAnsi="Arial" w:cs="Arial"/>
          <w:bCs/>
          <w:color w:val="000000"/>
          <w:sz w:val="20"/>
          <w:szCs w:val="20"/>
        </w:rPr>
      </w:pPr>
      <w:r>
        <w:rPr>
          <w:rFonts w:ascii="Arial" w:hAnsi="Arial" w:cs="Arial"/>
          <w:bCs/>
          <w:color w:val="000000"/>
          <w:sz w:val="20"/>
          <w:szCs w:val="20"/>
        </w:rPr>
        <w:t xml:space="preserve">Reference Link: </w:t>
      </w:r>
      <w:hyperlink r:id="rId47" w:history="1">
        <w:r w:rsidRPr="006865D6">
          <w:rPr>
            <w:rStyle w:val="Hyperlink"/>
            <w:rFonts w:ascii="Arial" w:hAnsi="Arial" w:cs="Arial"/>
            <w:bCs/>
            <w:sz w:val="20"/>
            <w:szCs w:val="20"/>
          </w:rPr>
          <w:t>https://m.rbi.org.in/scripts/BS_ViewMasCirculardetails.aspx?id=12367</w:t>
        </w:r>
      </w:hyperlink>
    </w:p>
    <w:p w:rsidR="00BA0C06" w:rsidRDefault="00BA0C06" w:rsidP="00BA0C06">
      <w:pPr>
        <w:jc w:val="both"/>
        <w:rPr>
          <w:rFonts w:ascii="Arial" w:hAnsi="Arial" w:cs="Arial"/>
          <w:b/>
          <w:bCs/>
          <w:color w:val="000000"/>
          <w:sz w:val="20"/>
          <w:szCs w:val="20"/>
        </w:rPr>
      </w:pPr>
    </w:p>
    <w:p w:rsidR="00BA0C06" w:rsidRDefault="00BA0C06" w:rsidP="00BA0C06">
      <w:pPr>
        <w:jc w:val="both"/>
        <w:rPr>
          <w:rFonts w:ascii="Arial" w:hAnsi="Arial" w:cs="Arial"/>
          <w:b/>
          <w:bCs/>
          <w:color w:val="000000"/>
          <w:sz w:val="20"/>
          <w:szCs w:val="20"/>
        </w:rPr>
      </w:pPr>
    </w:p>
    <w:p w:rsidR="00BA0C06" w:rsidRDefault="00BA0C06" w:rsidP="00BA0C06">
      <w:pPr>
        <w:jc w:val="both"/>
        <w:rPr>
          <w:rFonts w:ascii="Arial" w:hAnsi="Arial" w:cs="Arial"/>
          <w:b/>
          <w:bCs/>
          <w:color w:val="000000"/>
          <w:sz w:val="20"/>
          <w:szCs w:val="20"/>
        </w:rPr>
      </w:pPr>
    </w:p>
    <w:p w:rsidR="00BA0C06" w:rsidRDefault="00BA0C06" w:rsidP="00BA0C06">
      <w:pPr>
        <w:jc w:val="both"/>
        <w:rPr>
          <w:rFonts w:ascii="Arial" w:hAnsi="Arial" w:cs="Arial"/>
          <w:b/>
          <w:bCs/>
          <w:color w:val="000000"/>
          <w:sz w:val="20"/>
          <w:szCs w:val="20"/>
        </w:rPr>
      </w:pPr>
    </w:p>
    <w:p w:rsidR="00BA0C06" w:rsidRDefault="00BA0C06" w:rsidP="00BA0C06">
      <w:pPr>
        <w:jc w:val="both"/>
        <w:rPr>
          <w:rFonts w:ascii="Arial" w:hAnsi="Arial" w:cs="Arial"/>
          <w:b/>
          <w:bCs/>
          <w:color w:val="000000"/>
          <w:sz w:val="20"/>
          <w:szCs w:val="20"/>
        </w:rPr>
      </w:pPr>
    </w:p>
    <w:p w:rsidR="00BA0C06" w:rsidRDefault="00BA0C06" w:rsidP="00BA0C06">
      <w:pPr>
        <w:jc w:val="both"/>
        <w:rPr>
          <w:rFonts w:ascii="Arial" w:hAnsi="Arial" w:cs="Arial"/>
          <w:b/>
          <w:bCs/>
          <w:color w:val="000000"/>
          <w:sz w:val="20"/>
          <w:szCs w:val="20"/>
        </w:rPr>
      </w:pPr>
    </w:p>
    <w:p w:rsidR="00BA0C06" w:rsidRDefault="00BA0C06" w:rsidP="00BA0C06">
      <w:pPr>
        <w:rPr>
          <w:rFonts w:ascii="Arial" w:hAnsi="Arial" w:cs="Arial"/>
          <w:b/>
          <w:bCs/>
          <w:color w:val="000000"/>
          <w:sz w:val="20"/>
          <w:szCs w:val="20"/>
        </w:rPr>
      </w:pPr>
      <w:r>
        <w:rPr>
          <w:rFonts w:ascii="Arial" w:hAnsi="Arial" w:cs="Arial"/>
          <w:b/>
          <w:bCs/>
          <w:color w:val="000000"/>
          <w:sz w:val="20"/>
          <w:szCs w:val="20"/>
        </w:rPr>
        <w:t>Gold Monetization Scheme (GMS), 2015</w:t>
      </w:r>
    </w:p>
    <w:p w:rsidR="00BA0C06" w:rsidRDefault="00BA0C06" w:rsidP="00BA0C06">
      <w:pPr>
        <w:pStyle w:val="NormalWeb"/>
        <w:rPr>
          <w:rFonts w:ascii="Arial" w:hAnsi="Arial" w:cs="Arial"/>
          <w:color w:val="000000"/>
          <w:sz w:val="20"/>
          <w:szCs w:val="20"/>
        </w:rPr>
      </w:pPr>
      <w:r>
        <w:rPr>
          <w:rFonts w:ascii="Arial" w:hAnsi="Arial" w:cs="Arial"/>
          <w:color w:val="000000"/>
          <w:sz w:val="20"/>
          <w:szCs w:val="20"/>
        </w:rPr>
        <w:t>RBI/2022-23/100</w:t>
      </w:r>
      <w:r>
        <w:rPr>
          <w:rFonts w:ascii="Arial" w:hAnsi="Arial" w:cs="Arial"/>
          <w:color w:val="000000"/>
          <w:sz w:val="20"/>
          <w:szCs w:val="20"/>
        </w:rPr>
        <w:br/>
        <w:t>DoR.AUT.REC.58/23.67.001/2022-23</w:t>
      </w:r>
    </w:p>
    <w:p w:rsidR="00BA0C06" w:rsidRDefault="00BA0C06" w:rsidP="00BA0C06">
      <w:pPr>
        <w:pStyle w:val="NormalWeb"/>
        <w:jc w:val="right"/>
        <w:rPr>
          <w:rFonts w:ascii="Arial" w:hAnsi="Arial" w:cs="Arial"/>
          <w:color w:val="000000"/>
          <w:sz w:val="20"/>
          <w:szCs w:val="20"/>
        </w:rPr>
      </w:pPr>
      <w:r>
        <w:rPr>
          <w:rFonts w:ascii="Arial" w:hAnsi="Arial" w:cs="Arial"/>
          <w:color w:val="000000"/>
          <w:sz w:val="20"/>
          <w:szCs w:val="20"/>
        </w:rPr>
        <w:t>August 04, 2022</w:t>
      </w:r>
    </w:p>
    <w:p w:rsidR="00BA0C06" w:rsidRDefault="00BA0C06" w:rsidP="00BA0C06">
      <w:pPr>
        <w:pStyle w:val="NormalWeb"/>
        <w:spacing w:after="0" w:afterAutospacing="0"/>
        <w:rPr>
          <w:rFonts w:ascii="Arial" w:hAnsi="Arial" w:cs="Arial"/>
          <w:color w:val="000000"/>
          <w:sz w:val="20"/>
          <w:szCs w:val="20"/>
        </w:rPr>
      </w:pPr>
      <w:r>
        <w:rPr>
          <w:rFonts w:ascii="Arial" w:hAnsi="Arial" w:cs="Arial"/>
          <w:color w:val="000000"/>
          <w:sz w:val="20"/>
          <w:szCs w:val="20"/>
        </w:rPr>
        <w:t>All Scheduled Commercial Banks</w:t>
      </w:r>
      <w:r>
        <w:rPr>
          <w:rFonts w:ascii="Arial" w:hAnsi="Arial" w:cs="Arial"/>
          <w:color w:val="000000"/>
          <w:sz w:val="20"/>
          <w:szCs w:val="20"/>
        </w:rPr>
        <w:br/>
        <w:t>(excluding Regional Rural Banks)</w:t>
      </w:r>
    </w:p>
    <w:p w:rsidR="00BA0C06" w:rsidRDefault="00BA0C06" w:rsidP="00BA0C06">
      <w:pPr>
        <w:pStyle w:val="NormalWeb"/>
        <w:rPr>
          <w:rFonts w:ascii="Arial" w:hAnsi="Arial" w:cs="Arial"/>
          <w:color w:val="000000"/>
          <w:sz w:val="20"/>
          <w:szCs w:val="20"/>
        </w:rPr>
      </w:pPr>
      <w:r>
        <w:rPr>
          <w:rFonts w:ascii="Arial" w:hAnsi="Arial" w:cs="Arial"/>
          <w:color w:val="000000"/>
          <w:sz w:val="20"/>
          <w:szCs w:val="20"/>
        </w:rPr>
        <w:t>Dear Sir/Madam</w:t>
      </w:r>
    </w:p>
    <w:p w:rsidR="00BA0C06" w:rsidRDefault="00BA0C06" w:rsidP="00BA0C06">
      <w:pPr>
        <w:pStyle w:val="head"/>
        <w:rPr>
          <w:rFonts w:ascii="Arial" w:hAnsi="Arial" w:cs="Arial"/>
          <w:b/>
          <w:bCs/>
          <w:color w:val="000000"/>
          <w:sz w:val="20"/>
          <w:szCs w:val="20"/>
        </w:rPr>
      </w:pPr>
      <w:r>
        <w:rPr>
          <w:rFonts w:ascii="Arial" w:hAnsi="Arial" w:cs="Arial"/>
          <w:b/>
          <w:bCs/>
          <w:color w:val="000000"/>
          <w:sz w:val="20"/>
          <w:szCs w:val="20"/>
        </w:rPr>
        <w:t>Gold Monetization Scheme (GMS), 2015</w:t>
      </w:r>
    </w:p>
    <w:p w:rsidR="00BA0C06" w:rsidRDefault="00BA0C06" w:rsidP="00BA0C06">
      <w:pPr>
        <w:pStyle w:val="NormalWeb"/>
        <w:rPr>
          <w:rFonts w:ascii="Arial" w:hAnsi="Arial" w:cs="Arial"/>
          <w:color w:val="000000"/>
          <w:sz w:val="20"/>
          <w:szCs w:val="20"/>
        </w:rPr>
      </w:pPr>
      <w:r>
        <w:rPr>
          <w:rFonts w:ascii="Arial" w:hAnsi="Arial" w:cs="Arial"/>
          <w:color w:val="000000"/>
          <w:sz w:val="20"/>
          <w:szCs w:val="20"/>
        </w:rPr>
        <w:t>In exercise of the powers conferred on the Reserve Bank of India under Section 35A of the Banking Regulation Act, 1949, the RBI makes the following amendments in the Reserve Bank of India (Gold Monetization Scheme, 2015) </w:t>
      </w:r>
      <w:hyperlink r:id="rId48" w:tgtFrame="_blank" w:history="1">
        <w:r>
          <w:rPr>
            <w:rStyle w:val="Hyperlink"/>
            <w:rFonts w:ascii="Arial" w:hAnsi="Arial" w:cs="Arial"/>
            <w:sz w:val="20"/>
            <w:szCs w:val="20"/>
          </w:rPr>
          <w:t>Master Direction No.DBR.IBD.No.45/23.67.003/2015-16 dated October 22, 2015</w:t>
        </w:r>
      </w:hyperlink>
      <w:r>
        <w:rPr>
          <w:rFonts w:ascii="Arial" w:hAnsi="Arial" w:cs="Arial"/>
          <w:color w:val="000000"/>
          <w:sz w:val="20"/>
          <w:szCs w:val="20"/>
        </w:rPr>
        <w:t>, with immediate effect.</w:t>
      </w:r>
    </w:p>
    <w:p w:rsidR="00BA0C06" w:rsidRDefault="00BA0C06" w:rsidP="00BA0C06">
      <w:pPr>
        <w:pStyle w:val="NormalWeb"/>
        <w:rPr>
          <w:rFonts w:ascii="Arial" w:hAnsi="Arial" w:cs="Arial"/>
          <w:color w:val="000000"/>
          <w:sz w:val="20"/>
          <w:szCs w:val="20"/>
        </w:rPr>
      </w:pPr>
      <w:r>
        <w:rPr>
          <w:rFonts w:ascii="Arial" w:hAnsi="Arial" w:cs="Arial"/>
          <w:color w:val="000000"/>
          <w:sz w:val="20"/>
          <w:szCs w:val="20"/>
        </w:rPr>
        <w:t>2. The existing sub-para 2.2.</w:t>
      </w:r>
      <w:proofErr w:type="gramStart"/>
      <w:r>
        <w:rPr>
          <w:rFonts w:ascii="Arial" w:hAnsi="Arial" w:cs="Arial"/>
          <w:color w:val="000000"/>
          <w:sz w:val="20"/>
          <w:szCs w:val="20"/>
        </w:rPr>
        <w:t>2.(</w:t>
      </w:r>
      <w:proofErr w:type="gramEnd"/>
      <w:r>
        <w:rPr>
          <w:rFonts w:ascii="Arial" w:hAnsi="Arial" w:cs="Arial"/>
          <w:color w:val="000000"/>
          <w:sz w:val="20"/>
          <w:szCs w:val="20"/>
        </w:rPr>
        <w:t>v) stands deleted (and hence the existing sub-paras 2.2.2.(vi) to 2.2.2.(viii) have accordingly been renumbered). The corresponding provisions have been suitably incorporated in sub-para 2.4.i.(a) and 2.4.i.(b).</w:t>
      </w:r>
    </w:p>
    <w:p w:rsidR="00BA0C06" w:rsidRDefault="00BA0C06" w:rsidP="00BA0C06">
      <w:pPr>
        <w:pStyle w:val="NormalWeb"/>
        <w:spacing w:after="0" w:afterAutospacing="0"/>
        <w:rPr>
          <w:rFonts w:ascii="Arial" w:hAnsi="Arial" w:cs="Arial"/>
          <w:color w:val="000000"/>
          <w:sz w:val="20"/>
          <w:szCs w:val="20"/>
        </w:rPr>
      </w:pPr>
      <w:r>
        <w:rPr>
          <w:rFonts w:ascii="Arial" w:hAnsi="Arial" w:cs="Arial"/>
          <w:color w:val="000000"/>
          <w:sz w:val="20"/>
          <w:szCs w:val="20"/>
        </w:rPr>
        <w:t>3. The sub-para 2.2.</w:t>
      </w:r>
      <w:proofErr w:type="gramStart"/>
      <w:r>
        <w:rPr>
          <w:rFonts w:ascii="Arial" w:hAnsi="Arial" w:cs="Arial"/>
          <w:color w:val="000000"/>
          <w:sz w:val="20"/>
          <w:szCs w:val="20"/>
        </w:rPr>
        <w:t>2.(</w:t>
      </w:r>
      <w:proofErr w:type="gramEnd"/>
      <w:r>
        <w:rPr>
          <w:rFonts w:ascii="Arial" w:hAnsi="Arial" w:cs="Arial"/>
          <w:color w:val="000000"/>
          <w:sz w:val="20"/>
          <w:szCs w:val="20"/>
        </w:rPr>
        <w:t>vii) has been amended to read as follows:</w:t>
      </w:r>
    </w:p>
    <w:p w:rsidR="00BA0C06" w:rsidRDefault="00BA0C06" w:rsidP="00BA0C06">
      <w:pPr>
        <w:pStyle w:val="NormalWeb"/>
        <w:rPr>
          <w:rFonts w:ascii="Arial" w:hAnsi="Arial" w:cs="Arial"/>
          <w:color w:val="000000"/>
          <w:sz w:val="20"/>
          <w:szCs w:val="20"/>
        </w:rPr>
      </w:pPr>
      <w:r>
        <w:rPr>
          <w:rFonts w:ascii="Arial" w:hAnsi="Arial" w:cs="Arial"/>
          <w:color w:val="000000"/>
          <w:sz w:val="20"/>
          <w:szCs w:val="20"/>
        </w:rPr>
        <w:t>“Central Government has decided that with effect from November 5, 2016, designated banks will be paid handling charges (including gold purity testing, refining, transportation, storage and any other relevant costs) for a new MLTGD at a flat rate of 1.5% and commission at the rate of 1% of the rupee equivalent of the amount of gold mobilized under the scheme until further notice. In case of renewal of deposits, as banks will not incur any expenses on purity testing, refining, transportation, storage and insurance etc., the banks will only be given a fixed commission of 1% of the rupee equivalent of the amount of gold on the date of renewal towards their administrative and account maintenance cost.”</w:t>
      </w:r>
    </w:p>
    <w:p w:rsidR="00BA0C06" w:rsidRDefault="00BA0C06" w:rsidP="00BA0C06">
      <w:pPr>
        <w:pStyle w:val="NormalWeb"/>
        <w:rPr>
          <w:rFonts w:ascii="Arial" w:hAnsi="Arial" w:cs="Arial"/>
          <w:color w:val="000000"/>
          <w:sz w:val="20"/>
          <w:szCs w:val="20"/>
        </w:rPr>
      </w:pPr>
      <w:r>
        <w:rPr>
          <w:rFonts w:ascii="Arial" w:hAnsi="Arial" w:cs="Arial"/>
          <w:color w:val="000000"/>
          <w:sz w:val="20"/>
          <w:szCs w:val="20"/>
        </w:rPr>
        <w:t>4. A new sub-para 2.4 has been inserted (and hence the existing sub-paras 2.4 to 2.10 have accordingly been renumbered) which reads as follows -</w:t>
      </w:r>
    </w:p>
    <w:p w:rsidR="00BA0C06" w:rsidRDefault="00BA0C06" w:rsidP="00BA0C06">
      <w:pPr>
        <w:pStyle w:val="head"/>
        <w:rPr>
          <w:rFonts w:ascii="Arial" w:hAnsi="Arial" w:cs="Arial"/>
          <w:b/>
          <w:bCs/>
          <w:color w:val="000000"/>
          <w:sz w:val="20"/>
          <w:szCs w:val="20"/>
        </w:rPr>
      </w:pPr>
      <w:r>
        <w:rPr>
          <w:rFonts w:ascii="Arial" w:hAnsi="Arial" w:cs="Arial"/>
          <w:b/>
          <w:bCs/>
          <w:color w:val="000000"/>
          <w:sz w:val="20"/>
          <w:szCs w:val="20"/>
        </w:rPr>
        <w:t>Guidelines for Renewal/Redemption of MLTGD</w:t>
      </w:r>
    </w:p>
    <w:p w:rsidR="00BA0C06" w:rsidRPr="00A410BB" w:rsidRDefault="00BA0C06" w:rsidP="00BA0C06">
      <w:pPr>
        <w:pStyle w:val="head"/>
        <w:spacing w:before="0" w:beforeAutospacing="0" w:after="0" w:afterAutospacing="0"/>
        <w:rPr>
          <w:rFonts w:ascii="Arial" w:hAnsi="Arial" w:cs="Arial"/>
          <w:bCs/>
          <w:color w:val="000000"/>
          <w:sz w:val="20"/>
          <w:szCs w:val="20"/>
        </w:rPr>
      </w:pPr>
      <w:r w:rsidRPr="00A410BB">
        <w:rPr>
          <w:rFonts w:ascii="Arial" w:hAnsi="Arial" w:cs="Arial"/>
          <w:bCs/>
          <w:color w:val="000000"/>
          <w:sz w:val="20"/>
          <w:szCs w:val="20"/>
        </w:rPr>
        <w:t>i. General</w:t>
      </w:r>
    </w:p>
    <w:p w:rsidR="00BA0C06" w:rsidRPr="00A410BB" w:rsidRDefault="00BA0C06" w:rsidP="00BA0C06">
      <w:pPr>
        <w:pStyle w:val="head"/>
        <w:spacing w:before="0" w:beforeAutospacing="0" w:after="0" w:afterAutospacing="0"/>
        <w:rPr>
          <w:rFonts w:ascii="Arial" w:hAnsi="Arial" w:cs="Arial"/>
          <w:bCs/>
          <w:color w:val="000000"/>
          <w:sz w:val="20"/>
          <w:szCs w:val="20"/>
        </w:rPr>
      </w:pPr>
      <w:r w:rsidRPr="00A410BB">
        <w:rPr>
          <w:rFonts w:ascii="Arial" w:hAnsi="Arial" w:cs="Arial"/>
          <w:bCs/>
          <w:color w:val="000000"/>
          <w:sz w:val="20"/>
          <w:szCs w:val="20"/>
        </w:rPr>
        <w:t>ii. Redemption in Gold</w:t>
      </w:r>
    </w:p>
    <w:p w:rsidR="00BA0C06" w:rsidRPr="00A410BB" w:rsidRDefault="00BA0C06" w:rsidP="00BA0C06">
      <w:pPr>
        <w:pStyle w:val="head"/>
        <w:spacing w:before="0" w:beforeAutospacing="0" w:after="0" w:afterAutospacing="0"/>
        <w:rPr>
          <w:rFonts w:ascii="Arial" w:hAnsi="Arial" w:cs="Arial"/>
          <w:bCs/>
          <w:color w:val="000000"/>
          <w:sz w:val="20"/>
          <w:szCs w:val="20"/>
        </w:rPr>
      </w:pPr>
      <w:r w:rsidRPr="00A410BB">
        <w:rPr>
          <w:rFonts w:ascii="Arial" w:hAnsi="Arial" w:cs="Arial"/>
          <w:bCs/>
          <w:color w:val="000000"/>
          <w:sz w:val="20"/>
          <w:szCs w:val="20"/>
        </w:rPr>
        <w:t>iii. Redemption in INR – Modalities</w:t>
      </w:r>
    </w:p>
    <w:p w:rsidR="00BA0C06" w:rsidRPr="00A410BB" w:rsidRDefault="00BA0C06" w:rsidP="00BA0C06">
      <w:pPr>
        <w:pStyle w:val="head"/>
        <w:spacing w:before="0" w:beforeAutospacing="0" w:after="0" w:afterAutospacing="0"/>
        <w:rPr>
          <w:rFonts w:ascii="Arial" w:hAnsi="Arial" w:cs="Arial"/>
          <w:bCs/>
          <w:color w:val="000000"/>
          <w:sz w:val="20"/>
          <w:szCs w:val="20"/>
        </w:rPr>
      </w:pPr>
      <w:r w:rsidRPr="00A410BB">
        <w:rPr>
          <w:rFonts w:ascii="Arial" w:hAnsi="Arial" w:cs="Arial"/>
          <w:bCs/>
          <w:color w:val="000000"/>
          <w:sz w:val="20"/>
          <w:szCs w:val="20"/>
        </w:rPr>
        <w:t>iv. Renewal of Deposit – Modalities</w:t>
      </w:r>
    </w:p>
    <w:p w:rsidR="00BA0C06" w:rsidRPr="00A410BB" w:rsidRDefault="00BA0C06" w:rsidP="00BA0C06">
      <w:pPr>
        <w:pStyle w:val="head"/>
        <w:spacing w:before="0" w:beforeAutospacing="0"/>
        <w:rPr>
          <w:rFonts w:ascii="Arial" w:hAnsi="Arial" w:cs="Arial"/>
          <w:bCs/>
          <w:color w:val="000000"/>
          <w:sz w:val="20"/>
          <w:szCs w:val="20"/>
        </w:rPr>
      </w:pPr>
      <w:r w:rsidRPr="00A410BB">
        <w:rPr>
          <w:rFonts w:ascii="Arial" w:hAnsi="Arial" w:cs="Arial"/>
          <w:bCs/>
          <w:color w:val="000000"/>
          <w:sz w:val="20"/>
          <w:szCs w:val="20"/>
        </w:rPr>
        <w:t>v. Partial Renewal and Partial Redemption in gold/INR – Modalities</w:t>
      </w:r>
    </w:p>
    <w:p w:rsidR="00BA0C06" w:rsidRDefault="00BA0C06" w:rsidP="00BA0C06">
      <w:pPr>
        <w:pStyle w:val="NormalWeb"/>
        <w:spacing w:after="0" w:afterAutospacing="0"/>
        <w:rPr>
          <w:rFonts w:ascii="Arial" w:hAnsi="Arial" w:cs="Arial"/>
          <w:color w:val="000000"/>
          <w:sz w:val="20"/>
          <w:szCs w:val="20"/>
        </w:rPr>
      </w:pPr>
      <w:r>
        <w:rPr>
          <w:rFonts w:ascii="Arial" w:hAnsi="Arial" w:cs="Arial"/>
          <w:color w:val="000000"/>
          <w:sz w:val="20"/>
          <w:szCs w:val="20"/>
        </w:rPr>
        <w:t>Yours faithfully</w:t>
      </w:r>
    </w:p>
    <w:p w:rsidR="00BA0C06" w:rsidRDefault="00BA0C06" w:rsidP="00BA0C06">
      <w:pPr>
        <w:pStyle w:val="NormalWeb"/>
        <w:rPr>
          <w:rFonts w:ascii="Arial" w:hAnsi="Arial" w:cs="Arial"/>
          <w:color w:val="000000"/>
          <w:sz w:val="20"/>
          <w:szCs w:val="20"/>
        </w:rPr>
      </w:pPr>
      <w:r>
        <w:rPr>
          <w:rFonts w:ascii="Arial" w:hAnsi="Arial" w:cs="Arial"/>
          <w:color w:val="000000"/>
          <w:sz w:val="20"/>
          <w:szCs w:val="20"/>
        </w:rPr>
        <w:t xml:space="preserve">(Prakash </w:t>
      </w:r>
      <w:proofErr w:type="spellStart"/>
      <w:r>
        <w:rPr>
          <w:rFonts w:ascii="Arial" w:hAnsi="Arial" w:cs="Arial"/>
          <w:color w:val="000000"/>
          <w:sz w:val="20"/>
          <w:szCs w:val="20"/>
        </w:rPr>
        <w:t>Baliarsingh</w:t>
      </w:r>
      <w:proofErr w:type="spellEnd"/>
      <w:r>
        <w:rPr>
          <w:rFonts w:ascii="Arial" w:hAnsi="Arial" w:cs="Arial"/>
          <w:color w:val="000000"/>
          <w:sz w:val="20"/>
          <w:szCs w:val="20"/>
        </w:rPr>
        <w:t>)</w:t>
      </w:r>
      <w:r>
        <w:rPr>
          <w:rFonts w:ascii="Arial" w:hAnsi="Arial" w:cs="Arial"/>
          <w:color w:val="000000"/>
          <w:sz w:val="20"/>
          <w:szCs w:val="20"/>
        </w:rPr>
        <w:br/>
        <w:t>Chief General Manager</w:t>
      </w:r>
    </w:p>
    <w:p w:rsidR="00BA0C06" w:rsidRDefault="00BA0C06" w:rsidP="00BA0C06">
      <w:pPr>
        <w:pStyle w:val="NormalWeb"/>
        <w:rPr>
          <w:rFonts w:ascii="Arial" w:hAnsi="Arial" w:cs="Arial"/>
          <w:color w:val="000000"/>
          <w:sz w:val="20"/>
          <w:szCs w:val="20"/>
        </w:rPr>
      </w:pPr>
    </w:p>
    <w:p w:rsidR="00BA0C06" w:rsidRDefault="00BA0C06" w:rsidP="00BA0C06">
      <w:r>
        <w:t>More details can be referred to in the below link.</w:t>
      </w:r>
    </w:p>
    <w:p w:rsidR="00BA0C06" w:rsidRDefault="00BA0C06" w:rsidP="00BA0C06">
      <w:pPr>
        <w:pStyle w:val="NormalWeb"/>
        <w:rPr>
          <w:rFonts w:ascii="Arial" w:hAnsi="Arial" w:cs="Arial"/>
          <w:bCs/>
          <w:color w:val="000000"/>
          <w:sz w:val="20"/>
          <w:szCs w:val="20"/>
        </w:rPr>
      </w:pPr>
      <w:r>
        <w:rPr>
          <w:rFonts w:ascii="Arial" w:hAnsi="Arial" w:cs="Arial"/>
          <w:bCs/>
          <w:color w:val="000000"/>
          <w:sz w:val="20"/>
          <w:szCs w:val="20"/>
        </w:rPr>
        <w:t xml:space="preserve">Reference Link: </w:t>
      </w:r>
      <w:hyperlink r:id="rId49" w:history="1">
        <w:r w:rsidRPr="006865D6">
          <w:rPr>
            <w:rStyle w:val="Hyperlink"/>
            <w:rFonts w:ascii="Arial" w:hAnsi="Arial" w:cs="Arial"/>
            <w:bCs/>
            <w:sz w:val="20"/>
            <w:szCs w:val="20"/>
          </w:rPr>
          <w:t>https://www.rbi.org.in/scripts/NotificationUser.aspx?Id=12368&amp;Mode=0</w:t>
        </w:r>
      </w:hyperlink>
    </w:p>
    <w:p w:rsidR="00BA0C06" w:rsidRDefault="00BA0C06" w:rsidP="00BA0C06">
      <w:pPr>
        <w:jc w:val="both"/>
        <w:rPr>
          <w:rFonts w:ascii="Arial" w:hAnsi="Arial" w:cs="Arial"/>
          <w:b/>
          <w:bCs/>
          <w:color w:val="000000"/>
          <w:sz w:val="20"/>
          <w:szCs w:val="20"/>
        </w:rPr>
      </w:pPr>
    </w:p>
    <w:p w:rsidR="00BA0C06" w:rsidRDefault="00BA0C06" w:rsidP="00BA0C06">
      <w:pPr>
        <w:pStyle w:val="NormalWeb"/>
        <w:rPr>
          <w:rFonts w:ascii="Arial" w:hAnsi="Arial" w:cs="Arial"/>
          <w:b/>
          <w:bCs/>
          <w:color w:val="000000"/>
          <w:sz w:val="20"/>
          <w:szCs w:val="20"/>
        </w:rPr>
      </w:pPr>
      <w:r>
        <w:rPr>
          <w:rFonts w:ascii="Arial" w:hAnsi="Arial" w:cs="Arial"/>
          <w:b/>
          <w:bCs/>
          <w:color w:val="000000"/>
          <w:sz w:val="20"/>
          <w:szCs w:val="20"/>
        </w:rPr>
        <w:t>Reserve Bank - Integrated Ombudsman Scheme, 2021 (RBIOS, 2021)</w:t>
      </w:r>
    </w:p>
    <w:p w:rsidR="00BA0C06" w:rsidRDefault="00BA0C06" w:rsidP="00BA0C06">
      <w:pPr>
        <w:pStyle w:val="head"/>
        <w:rPr>
          <w:rFonts w:ascii="Arial" w:hAnsi="Arial" w:cs="Arial"/>
          <w:b/>
          <w:bCs/>
          <w:color w:val="000000"/>
          <w:sz w:val="20"/>
          <w:szCs w:val="20"/>
        </w:rPr>
      </w:pPr>
      <w:r>
        <w:rPr>
          <w:rFonts w:ascii="Arial" w:hAnsi="Arial" w:cs="Arial"/>
          <w:b/>
          <w:bCs/>
          <w:color w:val="000000"/>
          <w:sz w:val="20"/>
          <w:szCs w:val="20"/>
        </w:rPr>
        <w:t>EXECUTIVE DIRECTOR</w:t>
      </w:r>
    </w:p>
    <w:p w:rsidR="00BA0C06" w:rsidRDefault="00BA0C06" w:rsidP="00BA0C06">
      <w:pPr>
        <w:pStyle w:val="head"/>
        <w:rPr>
          <w:rFonts w:ascii="Arial" w:hAnsi="Arial" w:cs="Arial"/>
          <w:b/>
          <w:bCs/>
          <w:color w:val="000000"/>
          <w:sz w:val="20"/>
          <w:szCs w:val="20"/>
        </w:rPr>
      </w:pPr>
      <w:r>
        <w:rPr>
          <w:rFonts w:ascii="Arial" w:hAnsi="Arial" w:cs="Arial"/>
          <w:b/>
          <w:bCs/>
          <w:color w:val="000000"/>
          <w:sz w:val="20"/>
          <w:szCs w:val="20"/>
        </w:rPr>
        <w:t>Reserve Bank of India</w:t>
      </w:r>
      <w:r>
        <w:rPr>
          <w:rFonts w:ascii="Arial" w:hAnsi="Arial" w:cs="Arial"/>
          <w:b/>
          <w:bCs/>
          <w:color w:val="000000"/>
          <w:sz w:val="20"/>
          <w:szCs w:val="20"/>
        </w:rPr>
        <w:br/>
        <w:t>Mumbai</w:t>
      </w:r>
    </w:p>
    <w:p w:rsidR="00BA0C06" w:rsidRDefault="00BA0C06" w:rsidP="00BA0C06">
      <w:pPr>
        <w:pStyle w:val="head"/>
        <w:jc w:val="center"/>
        <w:rPr>
          <w:rFonts w:ascii="Arial" w:hAnsi="Arial" w:cs="Arial"/>
          <w:b/>
          <w:bCs/>
          <w:color w:val="000000"/>
          <w:sz w:val="20"/>
          <w:szCs w:val="20"/>
        </w:rPr>
      </w:pPr>
      <w:r>
        <w:rPr>
          <w:rFonts w:ascii="Arial" w:hAnsi="Arial" w:cs="Arial"/>
          <w:b/>
          <w:bCs/>
          <w:color w:val="000000"/>
          <w:sz w:val="20"/>
          <w:szCs w:val="20"/>
        </w:rPr>
        <w:t>Reserve Bank - Integrated Ombudsman Scheme, 2021 (RBIOS, 2021)</w:t>
      </w:r>
    </w:p>
    <w:p w:rsidR="00BA0C06" w:rsidRDefault="00BA0C06" w:rsidP="00BA0C06">
      <w:pPr>
        <w:pStyle w:val="head"/>
        <w:jc w:val="center"/>
        <w:rPr>
          <w:rFonts w:ascii="Arial" w:hAnsi="Arial" w:cs="Arial"/>
          <w:b/>
          <w:bCs/>
          <w:color w:val="000000"/>
          <w:sz w:val="20"/>
          <w:szCs w:val="20"/>
        </w:rPr>
      </w:pPr>
      <w:r>
        <w:rPr>
          <w:rFonts w:ascii="Arial" w:hAnsi="Arial" w:cs="Arial"/>
          <w:b/>
          <w:bCs/>
          <w:color w:val="000000"/>
          <w:sz w:val="20"/>
          <w:szCs w:val="20"/>
          <w:u w:val="single"/>
        </w:rPr>
        <w:t>NOTIFICATION</w:t>
      </w:r>
    </w:p>
    <w:p w:rsidR="00BA0C06" w:rsidRDefault="00BA0C06" w:rsidP="00BA0C06">
      <w:pPr>
        <w:pStyle w:val="NormalWeb"/>
        <w:rPr>
          <w:rFonts w:ascii="Arial" w:hAnsi="Arial" w:cs="Arial"/>
          <w:color w:val="000000"/>
          <w:sz w:val="20"/>
          <w:szCs w:val="20"/>
        </w:rPr>
      </w:pPr>
      <w:proofErr w:type="gramStart"/>
      <w:r>
        <w:rPr>
          <w:rFonts w:ascii="Arial" w:hAnsi="Arial" w:cs="Arial"/>
          <w:color w:val="000000"/>
          <w:sz w:val="20"/>
          <w:szCs w:val="20"/>
        </w:rPr>
        <w:t>Ref.CEPD.PRD.No.S</w:t>
      </w:r>
      <w:proofErr w:type="gramEnd"/>
      <w:r>
        <w:rPr>
          <w:rFonts w:ascii="Arial" w:hAnsi="Arial" w:cs="Arial"/>
          <w:color w:val="000000"/>
          <w:sz w:val="20"/>
          <w:szCs w:val="20"/>
        </w:rPr>
        <w:t>544/13.01.001/2022-23</w:t>
      </w:r>
    </w:p>
    <w:p w:rsidR="00BA0C06" w:rsidRDefault="00BA0C06" w:rsidP="00BA0C06">
      <w:pPr>
        <w:pStyle w:val="NormalWeb"/>
        <w:jc w:val="right"/>
        <w:rPr>
          <w:rFonts w:ascii="Arial" w:hAnsi="Arial" w:cs="Arial"/>
          <w:color w:val="000000"/>
          <w:sz w:val="20"/>
          <w:szCs w:val="20"/>
        </w:rPr>
      </w:pPr>
      <w:r>
        <w:rPr>
          <w:rFonts w:ascii="Arial" w:hAnsi="Arial" w:cs="Arial"/>
          <w:color w:val="000000"/>
          <w:sz w:val="20"/>
          <w:szCs w:val="20"/>
        </w:rPr>
        <w:t>August 5, 2022</w:t>
      </w:r>
    </w:p>
    <w:p w:rsidR="00BA0C06" w:rsidRDefault="00BA0C06" w:rsidP="00BA0C06">
      <w:pPr>
        <w:pStyle w:val="NormalWeb"/>
        <w:rPr>
          <w:rFonts w:ascii="Arial" w:hAnsi="Arial" w:cs="Arial"/>
          <w:color w:val="000000"/>
          <w:sz w:val="20"/>
          <w:szCs w:val="20"/>
        </w:rPr>
      </w:pPr>
      <w:r>
        <w:rPr>
          <w:rFonts w:ascii="Arial" w:hAnsi="Arial" w:cs="Arial"/>
          <w:color w:val="000000"/>
          <w:sz w:val="20"/>
          <w:szCs w:val="20"/>
        </w:rPr>
        <w:t>In exercise of the powers conferred by sub section (1) of Section 11 of the Credit Information Companies (Regulation) Act, 2005, and in partial modification of its </w:t>
      </w:r>
      <w:hyperlink r:id="rId50" w:tgtFrame="_blank" w:history="1">
        <w:r>
          <w:rPr>
            <w:rStyle w:val="Hyperlink"/>
            <w:rFonts w:ascii="Arial" w:hAnsi="Arial" w:cs="Arial"/>
            <w:sz w:val="20"/>
            <w:szCs w:val="20"/>
          </w:rPr>
          <w:t>notification CEPD. PRD. No. S873/13.01.001/2021-22 dated November 12, 2021</w:t>
        </w:r>
      </w:hyperlink>
      <w:r>
        <w:rPr>
          <w:rFonts w:ascii="Arial" w:hAnsi="Arial" w:cs="Arial"/>
          <w:color w:val="000000"/>
          <w:sz w:val="20"/>
          <w:szCs w:val="20"/>
        </w:rPr>
        <w:t>, the Reserve Bank of India, being satisfied that it is in public interest to do so, and to provide an avenue for cost free alternate grievance redress to customers of regulated entities covered under the RBIOS 2021 (the Scheme) for grievances against Credit Information Compa</w:t>
      </w:r>
      <w:bookmarkStart w:id="0" w:name="_GoBack"/>
      <w:bookmarkEnd w:id="0"/>
      <w:r>
        <w:rPr>
          <w:rFonts w:ascii="Arial" w:hAnsi="Arial" w:cs="Arial"/>
          <w:color w:val="000000"/>
          <w:sz w:val="20"/>
          <w:szCs w:val="20"/>
        </w:rPr>
        <w:t>nies, hereby directs that the ‘Credit Information Company’ as defined in the Credit Information Companies (Regulation) Act, 2005, shall also be treated as a ‘Regulated Entity’ for the purpose of the Scheme.</w:t>
      </w:r>
    </w:p>
    <w:p w:rsidR="00BA0C06" w:rsidRDefault="00BA0C06" w:rsidP="00BA0C06">
      <w:pPr>
        <w:pStyle w:val="NormalWeb"/>
        <w:rPr>
          <w:rFonts w:ascii="Arial" w:hAnsi="Arial" w:cs="Arial"/>
          <w:color w:val="000000"/>
          <w:sz w:val="20"/>
          <w:szCs w:val="20"/>
        </w:rPr>
      </w:pPr>
      <w:r>
        <w:rPr>
          <w:rFonts w:ascii="Arial" w:hAnsi="Arial" w:cs="Arial"/>
          <w:color w:val="000000"/>
          <w:sz w:val="20"/>
          <w:szCs w:val="20"/>
        </w:rPr>
        <w:t>2. As a result, the Scheme shall also be applicable to Credit Information Companies to the extent not specifically excluded under the Scheme.</w:t>
      </w:r>
    </w:p>
    <w:p w:rsidR="00BA0C06" w:rsidRDefault="00BA0C06" w:rsidP="00BA0C06">
      <w:pPr>
        <w:pStyle w:val="NormalWeb"/>
        <w:rPr>
          <w:rFonts w:ascii="Arial" w:hAnsi="Arial" w:cs="Arial"/>
          <w:color w:val="000000"/>
          <w:sz w:val="20"/>
          <w:szCs w:val="20"/>
        </w:rPr>
      </w:pPr>
      <w:r>
        <w:rPr>
          <w:rFonts w:ascii="Arial" w:hAnsi="Arial" w:cs="Arial"/>
          <w:color w:val="000000"/>
          <w:sz w:val="20"/>
          <w:szCs w:val="20"/>
        </w:rPr>
        <w:t xml:space="preserve">3. The amendment in the Scheme shall come into force </w:t>
      </w:r>
      <w:proofErr w:type="spellStart"/>
      <w:r>
        <w:rPr>
          <w:rFonts w:ascii="Arial" w:hAnsi="Arial" w:cs="Arial"/>
          <w:color w:val="000000"/>
          <w:sz w:val="20"/>
          <w:szCs w:val="20"/>
        </w:rPr>
        <w:t>w.e.f</w:t>
      </w:r>
      <w:proofErr w:type="spellEnd"/>
      <w:r>
        <w:rPr>
          <w:rFonts w:ascii="Arial" w:hAnsi="Arial" w:cs="Arial"/>
          <w:color w:val="000000"/>
          <w:sz w:val="20"/>
          <w:szCs w:val="20"/>
        </w:rPr>
        <w:t>. September 1, 2022.</w:t>
      </w:r>
    </w:p>
    <w:p w:rsidR="00BA0C06" w:rsidRDefault="00BA0C06" w:rsidP="00BA0C06">
      <w:pPr>
        <w:pStyle w:val="NormalWeb"/>
        <w:rPr>
          <w:rFonts w:ascii="Arial" w:hAnsi="Arial" w:cs="Arial"/>
          <w:color w:val="000000"/>
          <w:sz w:val="20"/>
          <w:szCs w:val="20"/>
        </w:rPr>
      </w:pPr>
      <w:r>
        <w:rPr>
          <w:rFonts w:ascii="Arial" w:hAnsi="Arial" w:cs="Arial"/>
          <w:color w:val="000000"/>
          <w:sz w:val="20"/>
          <w:szCs w:val="20"/>
        </w:rPr>
        <w:t>4. An updated version of the Scheme is </w:t>
      </w:r>
      <w:hyperlink r:id="rId51" w:tgtFrame="_blank" w:history="1">
        <w:r>
          <w:rPr>
            <w:rStyle w:val="Hyperlink"/>
            <w:rFonts w:ascii="Arial" w:hAnsi="Arial" w:cs="Arial"/>
            <w:sz w:val="20"/>
            <w:szCs w:val="20"/>
          </w:rPr>
          <w:t>annexed</w:t>
        </w:r>
      </w:hyperlink>
      <w:r>
        <w:rPr>
          <w:rFonts w:ascii="Arial" w:hAnsi="Arial" w:cs="Arial"/>
          <w:color w:val="000000"/>
          <w:sz w:val="20"/>
          <w:szCs w:val="20"/>
        </w:rPr>
        <w:t>.</w:t>
      </w:r>
    </w:p>
    <w:p w:rsidR="00BA0C06" w:rsidRDefault="00BA0C06" w:rsidP="00BA0C06">
      <w:pPr>
        <w:pStyle w:val="NormalWeb"/>
        <w:rPr>
          <w:rFonts w:ascii="Arial" w:hAnsi="Arial" w:cs="Arial"/>
          <w:color w:val="000000"/>
          <w:sz w:val="20"/>
          <w:szCs w:val="20"/>
        </w:rPr>
      </w:pPr>
      <w:r>
        <w:rPr>
          <w:rFonts w:ascii="Arial" w:hAnsi="Arial" w:cs="Arial"/>
          <w:color w:val="000000"/>
          <w:sz w:val="20"/>
          <w:szCs w:val="20"/>
        </w:rPr>
        <w:t>(Anil Kumar Sharma)</w:t>
      </w:r>
    </w:p>
    <w:p w:rsidR="00BA0C06" w:rsidRDefault="00BA0C06" w:rsidP="00BA0C06">
      <w:pPr>
        <w:pStyle w:val="NormalWeb"/>
        <w:rPr>
          <w:rFonts w:ascii="Arial" w:hAnsi="Arial" w:cs="Arial"/>
          <w:color w:val="000000"/>
          <w:sz w:val="20"/>
          <w:szCs w:val="20"/>
        </w:rPr>
      </w:pPr>
    </w:p>
    <w:p w:rsidR="00BA0C06" w:rsidRDefault="00BA0C06" w:rsidP="00BA0C06">
      <w:pPr>
        <w:pStyle w:val="NormalWeb"/>
        <w:rPr>
          <w:rFonts w:ascii="Arial" w:hAnsi="Arial" w:cs="Arial"/>
          <w:color w:val="000000"/>
          <w:sz w:val="20"/>
          <w:szCs w:val="20"/>
        </w:rPr>
      </w:pPr>
    </w:p>
    <w:p w:rsidR="00BA0C06" w:rsidRDefault="00BA0C06" w:rsidP="00BA0C06">
      <w:pPr>
        <w:pStyle w:val="NormalWeb"/>
        <w:rPr>
          <w:rFonts w:ascii="Arial" w:hAnsi="Arial" w:cs="Arial"/>
          <w:color w:val="000000"/>
          <w:sz w:val="20"/>
          <w:szCs w:val="20"/>
        </w:rPr>
      </w:pPr>
    </w:p>
    <w:p w:rsidR="00BA0C06" w:rsidRDefault="00BA0C06" w:rsidP="00BA0C06">
      <w:r>
        <w:t>More details can be referred to in the below link.</w:t>
      </w:r>
    </w:p>
    <w:p w:rsidR="00BA0C06" w:rsidRDefault="00BA0C06" w:rsidP="00BA0C06">
      <w:pPr>
        <w:rPr>
          <w:rFonts w:ascii="Arial" w:hAnsi="Arial" w:cs="Arial"/>
          <w:bCs/>
          <w:color w:val="000000"/>
          <w:sz w:val="20"/>
          <w:szCs w:val="20"/>
        </w:rPr>
      </w:pPr>
      <w:r>
        <w:rPr>
          <w:rFonts w:ascii="Arial" w:hAnsi="Arial" w:cs="Arial"/>
          <w:bCs/>
          <w:color w:val="000000"/>
          <w:sz w:val="20"/>
          <w:szCs w:val="20"/>
        </w:rPr>
        <w:t xml:space="preserve">Reference Link: </w:t>
      </w:r>
      <w:hyperlink r:id="rId52" w:history="1">
        <w:r w:rsidRPr="006865D6">
          <w:rPr>
            <w:rStyle w:val="Hyperlink"/>
            <w:rFonts w:ascii="Arial" w:hAnsi="Arial" w:cs="Arial"/>
            <w:bCs/>
            <w:sz w:val="20"/>
            <w:szCs w:val="20"/>
          </w:rPr>
          <w:t>https://www.rbi.org.in/Scripts/NotificationUser.aspx?Id=12371&amp;Mode=0</w:t>
        </w:r>
      </w:hyperlink>
    </w:p>
    <w:p w:rsidR="00BA0C06" w:rsidRDefault="00BA0C06" w:rsidP="00BA0C06">
      <w:pPr>
        <w:rPr>
          <w:rFonts w:ascii="Arial" w:hAnsi="Arial" w:cs="Arial"/>
          <w:bCs/>
          <w:color w:val="000000"/>
          <w:sz w:val="20"/>
          <w:szCs w:val="20"/>
        </w:rPr>
      </w:pPr>
    </w:p>
    <w:p w:rsidR="00BA0C06" w:rsidRDefault="00BA0C06" w:rsidP="00BA0C06">
      <w:pPr>
        <w:rPr>
          <w:rFonts w:ascii="Arial" w:hAnsi="Arial" w:cs="Arial"/>
          <w:bCs/>
          <w:color w:val="000000"/>
          <w:sz w:val="20"/>
          <w:szCs w:val="20"/>
        </w:rPr>
      </w:pPr>
    </w:p>
    <w:p w:rsidR="00BA0C06" w:rsidRDefault="00BA0C06" w:rsidP="00BA0C06">
      <w:pPr>
        <w:rPr>
          <w:rFonts w:ascii="Arial" w:hAnsi="Arial" w:cs="Arial"/>
          <w:bCs/>
          <w:color w:val="000000"/>
          <w:sz w:val="20"/>
          <w:szCs w:val="20"/>
        </w:rPr>
      </w:pPr>
    </w:p>
    <w:p w:rsidR="00BA0C06" w:rsidRDefault="00BA0C06" w:rsidP="00BA0C06">
      <w:pPr>
        <w:rPr>
          <w:rFonts w:ascii="Arial" w:hAnsi="Arial" w:cs="Arial"/>
          <w:bCs/>
          <w:color w:val="000000"/>
          <w:sz w:val="20"/>
          <w:szCs w:val="20"/>
        </w:rPr>
      </w:pPr>
    </w:p>
    <w:p w:rsidR="00BA0C06" w:rsidRDefault="00BA0C06" w:rsidP="00BA0C06">
      <w:pPr>
        <w:rPr>
          <w:rFonts w:ascii="Arial" w:hAnsi="Arial" w:cs="Arial"/>
          <w:bCs/>
          <w:color w:val="000000"/>
          <w:sz w:val="20"/>
          <w:szCs w:val="20"/>
        </w:rPr>
      </w:pPr>
    </w:p>
    <w:p w:rsidR="00BA0C06" w:rsidRDefault="00BA0C06" w:rsidP="00BA0C06">
      <w:pPr>
        <w:rPr>
          <w:rFonts w:ascii="Arial" w:hAnsi="Arial" w:cs="Arial"/>
          <w:bCs/>
          <w:color w:val="000000"/>
          <w:sz w:val="20"/>
          <w:szCs w:val="20"/>
        </w:rPr>
      </w:pPr>
    </w:p>
    <w:p w:rsidR="00BA0C06" w:rsidRDefault="00BA0C06" w:rsidP="00BA0C06">
      <w:pPr>
        <w:rPr>
          <w:rFonts w:ascii="Arial" w:hAnsi="Arial" w:cs="Arial"/>
          <w:bCs/>
          <w:color w:val="000000"/>
          <w:sz w:val="20"/>
          <w:szCs w:val="20"/>
        </w:rPr>
      </w:pPr>
    </w:p>
    <w:p w:rsidR="00BA0C06" w:rsidRDefault="00BA0C06" w:rsidP="00BA0C06">
      <w:pPr>
        <w:rPr>
          <w:rFonts w:ascii="Arial" w:hAnsi="Arial" w:cs="Arial"/>
          <w:bCs/>
          <w:color w:val="000000"/>
          <w:sz w:val="20"/>
          <w:szCs w:val="20"/>
        </w:rPr>
      </w:pPr>
    </w:p>
    <w:p w:rsidR="00BA0C06" w:rsidRDefault="00BA0C06" w:rsidP="00BA0C06">
      <w:pPr>
        <w:rPr>
          <w:rFonts w:ascii="Arial" w:hAnsi="Arial" w:cs="Arial"/>
          <w:b/>
          <w:bCs/>
          <w:color w:val="000000"/>
          <w:sz w:val="20"/>
          <w:szCs w:val="20"/>
        </w:rPr>
      </w:pPr>
      <w:r>
        <w:rPr>
          <w:rFonts w:ascii="Arial" w:hAnsi="Arial" w:cs="Arial"/>
          <w:b/>
          <w:bCs/>
          <w:color w:val="000000"/>
          <w:sz w:val="20"/>
          <w:szCs w:val="20"/>
        </w:rPr>
        <w:t>Authorised Dealer Category-I License eligibility for Small Finance Banks</w:t>
      </w:r>
    </w:p>
    <w:p w:rsidR="00BA0C06" w:rsidRDefault="00BA0C06" w:rsidP="00BA0C06">
      <w:pPr>
        <w:pStyle w:val="NormalWeb"/>
        <w:jc w:val="both"/>
        <w:rPr>
          <w:rFonts w:ascii="Arial" w:hAnsi="Arial" w:cs="Arial"/>
          <w:color w:val="000000"/>
          <w:sz w:val="20"/>
          <w:szCs w:val="20"/>
        </w:rPr>
      </w:pPr>
      <w:r>
        <w:rPr>
          <w:rFonts w:ascii="Arial" w:hAnsi="Arial" w:cs="Arial"/>
          <w:color w:val="000000"/>
          <w:sz w:val="20"/>
          <w:szCs w:val="20"/>
        </w:rPr>
        <w:t>RBI/2022-23/104</w:t>
      </w:r>
      <w:r>
        <w:rPr>
          <w:rFonts w:ascii="Arial" w:hAnsi="Arial" w:cs="Arial"/>
          <w:color w:val="000000"/>
          <w:sz w:val="20"/>
          <w:szCs w:val="20"/>
        </w:rPr>
        <w:br/>
        <w:t>DOR.LIC.REC.60/16.13.218/2022-23</w:t>
      </w:r>
    </w:p>
    <w:p w:rsidR="00BA0C06" w:rsidRDefault="00BA0C06" w:rsidP="00BA0C06">
      <w:pPr>
        <w:pStyle w:val="NormalWeb"/>
        <w:jc w:val="right"/>
        <w:rPr>
          <w:rFonts w:ascii="Arial" w:hAnsi="Arial" w:cs="Arial"/>
          <w:color w:val="000000"/>
          <w:sz w:val="20"/>
          <w:szCs w:val="20"/>
        </w:rPr>
      </w:pPr>
      <w:r>
        <w:rPr>
          <w:rFonts w:ascii="Arial" w:hAnsi="Arial" w:cs="Arial"/>
          <w:color w:val="000000"/>
          <w:sz w:val="20"/>
          <w:szCs w:val="20"/>
        </w:rPr>
        <w:t>August 8, 2022</w:t>
      </w:r>
    </w:p>
    <w:p w:rsidR="00BA0C06" w:rsidRDefault="00BA0C06" w:rsidP="00BA0C06">
      <w:pPr>
        <w:pStyle w:val="NormalWeb"/>
        <w:jc w:val="both"/>
        <w:rPr>
          <w:rFonts w:ascii="Arial" w:hAnsi="Arial" w:cs="Arial"/>
          <w:color w:val="000000"/>
          <w:sz w:val="20"/>
          <w:szCs w:val="20"/>
        </w:rPr>
      </w:pPr>
      <w:r>
        <w:rPr>
          <w:rFonts w:ascii="Arial" w:hAnsi="Arial" w:cs="Arial"/>
          <w:color w:val="000000"/>
          <w:sz w:val="20"/>
          <w:szCs w:val="20"/>
        </w:rPr>
        <w:t>Managing Director and Chief Executive Officers of Small Finance Banks</w:t>
      </w:r>
    </w:p>
    <w:p w:rsidR="00BA0C06" w:rsidRDefault="00BA0C06" w:rsidP="00BA0C06">
      <w:pPr>
        <w:pStyle w:val="NormalWeb"/>
        <w:jc w:val="both"/>
        <w:rPr>
          <w:rFonts w:ascii="Arial" w:hAnsi="Arial" w:cs="Arial"/>
          <w:color w:val="000000"/>
          <w:sz w:val="20"/>
          <w:szCs w:val="20"/>
        </w:rPr>
      </w:pPr>
      <w:r>
        <w:rPr>
          <w:rFonts w:ascii="Arial" w:hAnsi="Arial" w:cs="Arial"/>
          <w:color w:val="000000"/>
          <w:sz w:val="20"/>
          <w:szCs w:val="20"/>
        </w:rPr>
        <w:t>Madam/ Dear Sir,</w:t>
      </w:r>
    </w:p>
    <w:p w:rsidR="00BA0C06" w:rsidRDefault="00BA0C06" w:rsidP="00BA0C06">
      <w:pPr>
        <w:pStyle w:val="head"/>
        <w:jc w:val="both"/>
        <w:rPr>
          <w:rFonts w:ascii="Arial" w:hAnsi="Arial" w:cs="Arial"/>
          <w:b/>
          <w:bCs/>
          <w:color w:val="000000"/>
          <w:sz w:val="20"/>
          <w:szCs w:val="20"/>
        </w:rPr>
      </w:pPr>
      <w:r>
        <w:rPr>
          <w:rFonts w:ascii="Arial" w:hAnsi="Arial" w:cs="Arial"/>
          <w:b/>
          <w:bCs/>
          <w:color w:val="000000"/>
          <w:sz w:val="20"/>
          <w:szCs w:val="20"/>
        </w:rPr>
        <w:t>Authorised Dealer Category-I License eligibility for Small Finance Banks</w:t>
      </w:r>
    </w:p>
    <w:p w:rsidR="00BA0C06" w:rsidRDefault="00BA0C06" w:rsidP="00BA0C06">
      <w:pPr>
        <w:pStyle w:val="NormalWeb"/>
        <w:jc w:val="both"/>
        <w:rPr>
          <w:rFonts w:ascii="Arial" w:hAnsi="Arial" w:cs="Arial"/>
          <w:color w:val="000000"/>
          <w:sz w:val="20"/>
          <w:szCs w:val="20"/>
        </w:rPr>
      </w:pPr>
      <w:r>
        <w:rPr>
          <w:rFonts w:ascii="Arial" w:hAnsi="Arial" w:cs="Arial"/>
          <w:color w:val="000000"/>
          <w:sz w:val="20"/>
          <w:szCs w:val="20"/>
        </w:rPr>
        <w:t>Please refer to the </w:t>
      </w:r>
      <w:hyperlink r:id="rId53" w:tgtFrame="_blank" w:history="1">
        <w:r>
          <w:rPr>
            <w:rStyle w:val="Hyperlink"/>
            <w:rFonts w:ascii="Arial" w:hAnsi="Arial" w:cs="Arial"/>
            <w:sz w:val="20"/>
            <w:szCs w:val="20"/>
          </w:rPr>
          <w:t>‘Guidelines for Licensing of Small Finance Banks in Private Sector’ dated November 27, 2014</w:t>
        </w:r>
      </w:hyperlink>
      <w:r>
        <w:rPr>
          <w:rFonts w:ascii="Arial" w:hAnsi="Arial" w:cs="Arial"/>
          <w:color w:val="000000"/>
          <w:sz w:val="20"/>
          <w:szCs w:val="20"/>
        </w:rPr>
        <w:t> and the </w:t>
      </w:r>
      <w:hyperlink r:id="rId54" w:tgtFrame="_blank" w:history="1">
        <w:r>
          <w:rPr>
            <w:rStyle w:val="Hyperlink"/>
            <w:rFonts w:ascii="Arial" w:hAnsi="Arial" w:cs="Arial"/>
            <w:sz w:val="20"/>
            <w:szCs w:val="20"/>
          </w:rPr>
          <w:t>‘Guidelines for ‘on-tap’ Licensing of Small Finance Banks in Private Sector’ released by Reserve Bank on December 5, 2019</w:t>
        </w:r>
      </w:hyperlink>
      <w:r>
        <w:rPr>
          <w:rFonts w:ascii="Arial" w:hAnsi="Arial" w:cs="Arial"/>
          <w:color w:val="000000"/>
          <w:sz w:val="20"/>
          <w:szCs w:val="20"/>
        </w:rPr>
        <w:t>.</w:t>
      </w:r>
    </w:p>
    <w:p w:rsidR="00BA0C06" w:rsidRDefault="00BA0C06" w:rsidP="00BA0C06">
      <w:pPr>
        <w:pStyle w:val="NormalWeb"/>
        <w:jc w:val="both"/>
        <w:rPr>
          <w:rFonts w:ascii="Arial" w:hAnsi="Arial" w:cs="Arial"/>
          <w:color w:val="000000"/>
          <w:sz w:val="20"/>
          <w:szCs w:val="20"/>
        </w:rPr>
      </w:pPr>
      <w:r>
        <w:rPr>
          <w:rFonts w:ascii="Arial" w:hAnsi="Arial" w:cs="Arial"/>
          <w:color w:val="000000"/>
          <w:sz w:val="20"/>
          <w:szCs w:val="20"/>
        </w:rPr>
        <w:t>2. In terms of paragraph 4 of the aforesaid Licensing Guidelines, a small finance bank (SFB) can also become Authorised Dealer Category-II in foreign exchange business for its clients’ requirements.</w:t>
      </w:r>
    </w:p>
    <w:p w:rsidR="00BA0C06" w:rsidRDefault="00BA0C06" w:rsidP="00BA0C06">
      <w:pPr>
        <w:pStyle w:val="NormalWeb"/>
        <w:jc w:val="both"/>
        <w:rPr>
          <w:rFonts w:ascii="Arial" w:hAnsi="Arial" w:cs="Arial"/>
          <w:color w:val="000000"/>
          <w:sz w:val="20"/>
          <w:szCs w:val="20"/>
        </w:rPr>
      </w:pPr>
      <w:r>
        <w:rPr>
          <w:rFonts w:ascii="Arial" w:hAnsi="Arial" w:cs="Arial"/>
          <w:color w:val="000000"/>
          <w:sz w:val="20"/>
          <w:szCs w:val="20"/>
        </w:rPr>
        <w:t>3. With the objective of giving more flexibility to SFBs to meet their customers’ foreign exchange business requirement, it has been decided that all the scheduled SFBs, after completion of at least two years of operations as Authorised Dealer Category-II, will be eligible for Authorised Dealer Category-I license, subject to compliance with the eligibility norms given in the </w:t>
      </w:r>
      <w:hyperlink r:id="rId55" w:anchor="AN1" w:history="1">
        <w:r>
          <w:rPr>
            <w:rStyle w:val="Hyperlink"/>
            <w:rFonts w:ascii="Arial" w:hAnsi="Arial" w:cs="Arial"/>
            <w:sz w:val="20"/>
            <w:szCs w:val="20"/>
          </w:rPr>
          <w:t>Annex-I</w:t>
        </w:r>
      </w:hyperlink>
      <w:r>
        <w:rPr>
          <w:rFonts w:ascii="Arial" w:hAnsi="Arial" w:cs="Arial"/>
          <w:color w:val="000000"/>
          <w:sz w:val="20"/>
          <w:szCs w:val="20"/>
        </w:rPr>
        <w:t>. The eligible SFBs may approach Foreign Exchange Department, Central Office, Reserve Bank of India with their applications along with the supporting documents with regard to their eligibility and requisite documents as specified in </w:t>
      </w:r>
      <w:hyperlink r:id="rId56" w:anchor="AN2" w:history="1">
        <w:r>
          <w:rPr>
            <w:rStyle w:val="Hyperlink"/>
            <w:rFonts w:ascii="Arial" w:hAnsi="Arial" w:cs="Arial"/>
            <w:sz w:val="20"/>
            <w:szCs w:val="20"/>
          </w:rPr>
          <w:t>Annex-II</w:t>
        </w:r>
      </w:hyperlink>
      <w:r>
        <w:rPr>
          <w:rFonts w:ascii="Arial" w:hAnsi="Arial" w:cs="Arial"/>
          <w:color w:val="000000"/>
          <w:sz w:val="20"/>
          <w:szCs w:val="20"/>
        </w:rPr>
        <w:t> for grant of Authorised Dealer Category-I license.</w:t>
      </w:r>
    </w:p>
    <w:p w:rsidR="00BA0C06" w:rsidRDefault="00BA0C06" w:rsidP="00BA0C06">
      <w:pPr>
        <w:pStyle w:val="NormalWeb"/>
        <w:jc w:val="both"/>
        <w:rPr>
          <w:rFonts w:ascii="Arial" w:hAnsi="Arial" w:cs="Arial"/>
          <w:color w:val="000000"/>
          <w:sz w:val="20"/>
          <w:szCs w:val="20"/>
        </w:rPr>
      </w:pPr>
      <w:r>
        <w:rPr>
          <w:rFonts w:ascii="Arial" w:hAnsi="Arial" w:cs="Arial"/>
          <w:color w:val="000000"/>
          <w:sz w:val="20"/>
          <w:szCs w:val="20"/>
        </w:rPr>
        <w:t>4. The other terms and conditions of the Licensing Guidelines remain unchanged.</w:t>
      </w:r>
    </w:p>
    <w:p w:rsidR="00BA0C06" w:rsidRDefault="00BA0C06" w:rsidP="00BA0C06">
      <w:pPr>
        <w:pStyle w:val="NormalWeb"/>
        <w:jc w:val="both"/>
        <w:rPr>
          <w:rFonts w:ascii="Arial" w:hAnsi="Arial" w:cs="Arial"/>
          <w:color w:val="000000"/>
          <w:sz w:val="20"/>
          <w:szCs w:val="20"/>
        </w:rPr>
      </w:pPr>
      <w:r>
        <w:rPr>
          <w:rFonts w:ascii="Arial" w:hAnsi="Arial" w:cs="Arial"/>
          <w:color w:val="000000"/>
          <w:sz w:val="20"/>
          <w:szCs w:val="20"/>
        </w:rPr>
        <w:t>Yours faithfully,</w:t>
      </w:r>
    </w:p>
    <w:p w:rsidR="00BA0C06" w:rsidRDefault="00BA0C06" w:rsidP="00BA0C06">
      <w:pPr>
        <w:pStyle w:val="NormalWeb"/>
        <w:rPr>
          <w:rFonts w:ascii="Arial" w:hAnsi="Arial" w:cs="Arial"/>
          <w:color w:val="000000"/>
          <w:sz w:val="20"/>
          <w:szCs w:val="20"/>
        </w:rPr>
      </w:pPr>
      <w:r>
        <w:rPr>
          <w:rFonts w:ascii="Arial" w:hAnsi="Arial" w:cs="Arial"/>
          <w:color w:val="000000"/>
          <w:sz w:val="20"/>
          <w:szCs w:val="20"/>
        </w:rPr>
        <w:t xml:space="preserve">(Prakash </w:t>
      </w:r>
      <w:proofErr w:type="spellStart"/>
      <w:r>
        <w:rPr>
          <w:rFonts w:ascii="Arial" w:hAnsi="Arial" w:cs="Arial"/>
          <w:color w:val="000000"/>
          <w:sz w:val="20"/>
          <w:szCs w:val="20"/>
        </w:rPr>
        <w:t>Baliarsingh</w:t>
      </w:r>
      <w:proofErr w:type="spellEnd"/>
      <w:r>
        <w:rPr>
          <w:rFonts w:ascii="Arial" w:hAnsi="Arial" w:cs="Arial"/>
          <w:color w:val="000000"/>
          <w:sz w:val="20"/>
          <w:szCs w:val="20"/>
        </w:rPr>
        <w:t>)</w:t>
      </w:r>
      <w:r>
        <w:rPr>
          <w:rFonts w:ascii="Arial" w:hAnsi="Arial" w:cs="Arial"/>
          <w:color w:val="000000"/>
          <w:sz w:val="20"/>
          <w:szCs w:val="20"/>
        </w:rPr>
        <w:br/>
        <w:t>Chief General Manager</w:t>
      </w:r>
    </w:p>
    <w:p w:rsidR="00BA0C06" w:rsidRDefault="00BA0C06" w:rsidP="00BA0C06"/>
    <w:p w:rsidR="00BA0C06" w:rsidRDefault="00BA0C06" w:rsidP="00BA0C06"/>
    <w:p w:rsidR="00BA0C06" w:rsidRDefault="00BA0C06" w:rsidP="00BA0C06">
      <w:r>
        <w:t>More details can be referred to in the below link.</w:t>
      </w:r>
    </w:p>
    <w:p w:rsidR="00BA0C06" w:rsidRDefault="00BA0C06" w:rsidP="00BA0C06">
      <w:pPr>
        <w:rPr>
          <w:rFonts w:ascii="Arial" w:hAnsi="Arial" w:cs="Arial"/>
          <w:sz w:val="20"/>
          <w:szCs w:val="20"/>
        </w:rPr>
      </w:pPr>
      <w:r>
        <w:rPr>
          <w:rFonts w:ascii="Arial" w:hAnsi="Arial" w:cs="Arial"/>
          <w:sz w:val="20"/>
          <w:szCs w:val="20"/>
        </w:rPr>
        <w:t xml:space="preserve">Reference Link: </w:t>
      </w:r>
      <w:hyperlink r:id="rId57" w:anchor=":~:text=It%20should%20have%20a%20minimum,in%20the%20preceding%20two%20years" w:history="1">
        <w:r w:rsidRPr="00200311">
          <w:rPr>
            <w:rStyle w:val="Hyperlink"/>
            <w:rFonts w:ascii="Arial" w:hAnsi="Arial" w:cs="Arial"/>
            <w:sz w:val="20"/>
            <w:szCs w:val="20"/>
          </w:rPr>
          <w:t>https://www.rbi.org.in/scripts/NotificationUser.aspx?Id=12373&amp;Mode=0#:~:text=It%20should%20have%20a%20minimum,in%20the%20preceding%20two%20years</w:t>
        </w:r>
      </w:hyperlink>
      <w:r w:rsidRPr="00C754F7">
        <w:rPr>
          <w:rFonts w:ascii="Arial" w:hAnsi="Arial" w:cs="Arial"/>
          <w:sz w:val="20"/>
          <w:szCs w:val="20"/>
        </w:rPr>
        <w:t>.</w:t>
      </w:r>
    </w:p>
    <w:p w:rsidR="00BA0C06" w:rsidRDefault="00BA0C06" w:rsidP="00BA0C06"/>
    <w:p w:rsidR="00BA0C06" w:rsidRDefault="00BA0C06" w:rsidP="00BA0C06"/>
    <w:p w:rsidR="00BA0C06" w:rsidRDefault="00BA0C06" w:rsidP="00BA0C06"/>
    <w:p w:rsidR="00BA0C06" w:rsidRDefault="00BA0C06" w:rsidP="00BA0C06"/>
    <w:p w:rsidR="00BA0C06" w:rsidRDefault="00BA0C06" w:rsidP="00BA0C06"/>
    <w:p w:rsidR="00BA0C06" w:rsidRDefault="00BA0C06" w:rsidP="00BA0C06"/>
    <w:p w:rsidR="00BA0C06" w:rsidRDefault="00BA0C06" w:rsidP="00BA0C06">
      <w:pPr>
        <w:rPr>
          <w:rFonts w:ascii="Arial" w:hAnsi="Arial" w:cs="Arial"/>
          <w:bCs/>
          <w:color w:val="000000"/>
          <w:sz w:val="20"/>
          <w:szCs w:val="20"/>
        </w:rPr>
      </w:pPr>
    </w:p>
    <w:p w:rsidR="00BA0C06" w:rsidRDefault="00BA0C06" w:rsidP="00BA0C06">
      <w:pPr>
        <w:rPr>
          <w:rFonts w:ascii="Arial" w:hAnsi="Arial" w:cs="Arial"/>
          <w:b/>
          <w:bCs/>
          <w:color w:val="000000"/>
          <w:sz w:val="20"/>
          <w:szCs w:val="20"/>
        </w:rPr>
      </w:pPr>
      <w:r>
        <w:rPr>
          <w:rFonts w:ascii="Arial" w:hAnsi="Arial" w:cs="Arial"/>
          <w:b/>
          <w:bCs/>
          <w:color w:val="000000"/>
          <w:sz w:val="20"/>
          <w:szCs w:val="20"/>
        </w:rPr>
        <w:t>Rupee Interest Rate Derivatives (Reserve Bank) Directions – Review</w:t>
      </w:r>
    </w:p>
    <w:p w:rsidR="00BA0C06" w:rsidRDefault="00BA0C06" w:rsidP="00BA0C06">
      <w:pPr>
        <w:pStyle w:val="NormalWeb"/>
        <w:jc w:val="both"/>
        <w:rPr>
          <w:rFonts w:ascii="Arial" w:hAnsi="Arial" w:cs="Arial"/>
          <w:color w:val="000000"/>
          <w:sz w:val="20"/>
          <w:szCs w:val="20"/>
        </w:rPr>
      </w:pPr>
      <w:r>
        <w:rPr>
          <w:rFonts w:ascii="Arial" w:hAnsi="Arial" w:cs="Arial"/>
          <w:color w:val="000000"/>
          <w:sz w:val="20"/>
          <w:szCs w:val="20"/>
        </w:rPr>
        <w:t>RBI/2022-23/105</w:t>
      </w:r>
      <w:r>
        <w:rPr>
          <w:rFonts w:ascii="Arial" w:hAnsi="Arial" w:cs="Arial"/>
          <w:color w:val="000000"/>
          <w:sz w:val="20"/>
          <w:szCs w:val="20"/>
        </w:rPr>
        <w:br/>
        <w:t>FMRD.DIRD.05/14.03.046/2022-23</w:t>
      </w:r>
    </w:p>
    <w:p w:rsidR="00BA0C06" w:rsidRDefault="00BA0C06" w:rsidP="00BA0C06">
      <w:pPr>
        <w:pStyle w:val="NormalWeb"/>
        <w:jc w:val="right"/>
        <w:rPr>
          <w:rFonts w:ascii="Arial" w:hAnsi="Arial" w:cs="Arial"/>
          <w:color w:val="000000"/>
          <w:sz w:val="20"/>
          <w:szCs w:val="20"/>
        </w:rPr>
      </w:pPr>
      <w:r>
        <w:rPr>
          <w:rFonts w:ascii="Arial" w:hAnsi="Arial" w:cs="Arial"/>
          <w:color w:val="000000"/>
          <w:sz w:val="20"/>
          <w:szCs w:val="20"/>
        </w:rPr>
        <w:t>August 08, 2022</w:t>
      </w:r>
    </w:p>
    <w:p w:rsidR="00BA0C06" w:rsidRDefault="00BA0C06" w:rsidP="00BA0C06">
      <w:pPr>
        <w:pStyle w:val="NormalWeb"/>
        <w:spacing w:before="0" w:beforeAutospacing="0" w:after="0" w:afterAutospacing="0"/>
        <w:jc w:val="both"/>
        <w:rPr>
          <w:rFonts w:ascii="Arial" w:hAnsi="Arial" w:cs="Arial"/>
          <w:color w:val="000000"/>
          <w:sz w:val="20"/>
          <w:szCs w:val="20"/>
        </w:rPr>
      </w:pPr>
      <w:r>
        <w:rPr>
          <w:rFonts w:ascii="Arial" w:hAnsi="Arial" w:cs="Arial"/>
          <w:color w:val="000000"/>
          <w:sz w:val="20"/>
          <w:szCs w:val="20"/>
        </w:rPr>
        <w:t>To,</w:t>
      </w:r>
    </w:p>
    <w:p w:rsidR="00BA0C06" w:rsidRDefault="00BA0C06" w:rsidP="00BA0C06">
      <w:pPr>
        <w:pStyle w:val="NormalWeb"/>
        <w:spacing w:before="0" w:beforeAutospacing="0" w:after="0" w:afterAutospacing="0"/>
        <w:jc w:val="both"/>
        <w:rPr>
          <w:rFonts w:ascii="Arial" w:hAnsi="Arial" w:cs="Arial"/>
          <w:color w:val="000000"/>
          <w:sz w:val="20"/>
          <w:szCs w:val="20"/>
        </w:rPr>
      </w:pPr>
      <w:r>
        <w:rPr>
          <w:rFonts w:ascii="Arial" w:hAnsi="Arial" w:cs="Arial"/>
          <w:color w:val="000000"/>
          <w:sz w:val="20"/>
          <w:szCs w:val="20"/>
        </w:rPr>
        <w:t>All Eligible Market Participants</w:t>
      </w:r>
    </w:p>
    <w:p w:rsidR="00BA0C06" w:rsidRDefault="00BA0C06" w:rsidP="00BA0C06">
      <w:pPr>
        <w:pStyle w:val="NormalWeb"/>
        <w:spacing w:before="0" w:beforeAutospacing="0" w:after="0" w:afterAutospacing="0"/>
        <w:jc w:val="both"/>
        <w:rPr>
          <w:rFonts w:ascii="Arial" w:hAnsi="Arial" w:cs="Arial"/>
          <w:color w:val="000000"/>
          <w:sz w:val="20"/>
          <w:szCs w:val="20"/>
        </w:rPr>
      </w:pPr>
      <w:r>
        <w:rPr>
          <w:rFonts w:ascii="Arial" w:hAnsi="Arial" w:cs="Arial"/>
          <w:color w:val="000000"/>
          <w:sz w:val="20"/>
          <w:szCs w:val="20"/>
        </w:rPr>
        <w:t>Madam / Sir,</w:t>
      </w:r>
    </w:p>
    <w:p w:rsidR="00BA0C06" w:rsidRDefault="00BA0C06" w:rsidP="00BA0C06">
      <w:pPr>
        <w:pStyle w:val="head"/>
        <w:jc w:val="center"/>
        <w:rPr>
          <w:rFonts w:ascii="Arial" w:hAnsi="Arial" w:cs="Arial"/>
          <w:b/>
          <w:bCs/>
          <w:color w:val="000000"/>
          <w:sz w:val="20"/>
          <w:szCs w:val="20"/>
        </w:rPr>
      </w:pPr>
      <w:r>
        <w:rPr>
          <w:rFonts w:ascii="Arial" w:hAnsi="Arial" w:cs="Arial"/>
          <w:b/>
          <w:bCs/>
          <w:color w:val="000000"/>
          <w:sz w:val="20"/>
          <w:szCs w:val="20"/>
        </w:rPr>
        <w:t>Rupee Interest Rate Derivatives (Reserve Bank) Directions - Review</w:t>
      </w:r>
    </w:p>
    <w:p w:rsidR="00BA0C06" w:rsidRDefault="00BA0C06" w:rsidP="00BA0C06">
      <w:pPr>
        <w:pStyle w:val="NormalWeb"/>
        <w:jc w:val="both"/>
        <w:rPr>
          <w:rFonts w:ascii="Arial" w:hAnsi="Arial" w:cs="Arial"/>
          <w:color w:val="000000"/>
          <w:sz w:val="20"/>
          <w:szCs w:val="20"/>
        </w:rPr>
      </w:pPr>
      <w:r>
        <w:rPr>
          <w:rFonts w:ascii="Arial" w:hAnsi="Arial" w:cs="Arial"/>
          <w:color w:val="000000"/>
          <w:sz w:val="20"/>
          <w:szCs w:val="20"/>
        </w:rPr>
        <w:t>Please refer to Paragraph 4 of the </w:t>
      </w:r>
      <w:hyperlink r:id="rId58" w:tgtFrame="_blank" w:history="1">
        <w:r>
          <w:rPr>
            <w:rStyle w:val="Hyperlink"/>
            <w:rFonts w:ascii="Arial" w:hAnsi="Arial" w:cs="Arial"/>
            <w:sz w:val="20"/>
            <w:szCs w:val="20"/>
          </w:rPr>
          <w:t>Statement on Developmental and Regulatory Policies</w:t>
        </w:r>
      </w:hyperlink>
      <w:r>
        <w:rPr>
          <w:rFonts w:ascii="Arial" w:hAnsi="Arial" w:cs="Arial"/>
          <w:color w:val="000000"/>
          <w:sz w:val="20"/>
          <w:szCs w:val="20"/>
        </w:rPr>
        <w:t>, issued as a part of the </w:t>
      </w:r>
      <w:hyperlink r:id="rId59" w:tgtFrame="_blank" w:history="1">
        <w:r>
          <w:rPr>
            <w:rStyle w:val="Hyperlink"/>
            <w:rFonts w:ascii="Arial" w:hAnsi="Arial" w:cs="Arial"/>
            <w:sz w:val="20"/>
            <w:szCs w:val="20"/>
          </w:rPr>
          <w:t>Bi-monthly Monetary Policy Statement for 2022-23 dated August 05, 2022</w:t>
        </w:r>
      </w:hyperlink>
      <w:r>
        <w:rPr>
          <w:rFonts w:ascii="Arial" w:hAnsi="Arial" w:cs="Arial"/>
          <w:color w:val="000000"/>
          <w:sz w:val="20"/>
          <w:szCs w:val="20"/>
        </w:rPr>
        <w:t> regarding permitting stand-alone primary dealers (SPDs) in India to deal in Foreign Currency Settled Overnight Indexed Swaps (FCS-OIS). Attention is also invited to the </w:t>
      </w:r>
      <w:hyperlink r:id="rId60" w:tgtFrame="_blank" w:history="1">
        <w:r>
          <w:rPr>
            <w:rStyle w:val="Hyperlink"/>
            <w:rFonts w:ascii="Arial" w:hAnsi="Arial" w:cs="Arial"/>
            <w:sz w:val="20"/>
            <w:szCs w:val="20"/>
          </w:rPr>
          <w:t>Rupee Interest Rate Derivatives (Reserve Bank) Directions, 2019 dated June 26, 2019</w:t>
        </w:r>
      </w:hyperlink>
      <w:r>
        <w:rPr>
          <w:rFonts w:ascii="Arial" w:hAnsi="Arial" w:cs="Arial"/>
          <w:color w:val="000000"/>
          <w:sz w:val="20"/>
          <w:szCs w:val="20"/>
        </w:rPr>
        <w:t>, as amended from time to time (hereinafter, Directions).</w:t>
      </w:r>
    </w:p>
    <w:p w:rsidR="00BA0C06" w:rsidRDefault="00BA0C06" w:rsidP="00BA0C06">
      <w:pPr>
        <w:pStyle w:val="NormalWeb"/>
        <w:jc w:val="both"/>
        <w:rPr>
          <w:rFonts w:ascii="Arial" w:hAnsi="Arial" w:cs="Arial"/>
          <w:color w:val="000000"/>
          <w:sz w:val="20"/>
          <w:szCs w:val="20"/>
        </w:rPr>
      </w:pPr>
      <w:r>
        <w:rPr>
          <w:rFonts w:ascii="Arial" w:hAnsi="Arial" w:cs="Arial"/>
          <w:color w:val="000000"/>
          <w:sz w:val="20"/>
          <w:szCs w:val="20"/>
        </w:rPr>
        <w:t>2. Banks in India having Authorised Dealer Category-I (AD Cat-I) license under FEMA, 1999 have been permitted under the above Directions to offer FCS-OIS to persons not resident in India as well as to other AD Cat-I banks vide </w:t>
      </w:r>
      <w:hyperlink r:id="rId61" w:tgtFrame="_blank" w:history="1">
        <w:r>
          <w:rPr>
            <w:rStyle w:val="Hyperlink"/>
            <w:rFonts w:ascii="Arial" w:hAnsi="Arial" w:cs="Arial"/>
            <w:sz w:val="20"/>
            <w:szCs w:val="20"/>
          </w:rPr>
          <w:t>circular FMRD.DIRD.12/14.03.046/2021-22 dated February 10, 2022</w:t>
        </w:r>
      </w:hyperlink>
      <w:r>
        <w:rPr>
          <w:rFonts w:ascii="Arial" w:hAnsi="Arial" w:cs="Arial"/>
          <w:color w:val="000000"/>
          <w:sz w:val="20"/>
          <w:szCs w:val="20"/>
        </w:rPr>
        <w:t>. On a review, it has been decided that SPDs, authorized under section 10(1) of FEMA, 1999 shall also be eligible to offer FCS-OIS to persons not resident in India as well as to other AD Cat-I banks and eligible SPDs.</w:t>
      </w:r>
    </w:p>
    <w:p w:rsidR="00BA0C06" w:rsidRDefault="00BA0C06" w:rsidP="00BA0C06">
      <w:pPr>
        <w:pStyle w:val="NormalWeb"/>
        <w:jc w:val="both"/>
        <w:rPr>
          <w:rFonts w:ascii="Arial" w:hAnsi="Arial" w:cs="Arial"/>
          <w:color w:val="000000"/>
          <w:sz w:val="20"/>
          <w:szCs w:val="20"/>
        </w:rPr>
      </w:pPr>
      <w:r>
        <w:rPr>
          <w:rFonts w:ascii="Arial" w:hAnsi="Arial" w:cs="Arial"/>
          <w:color w:val="000000"/>
          <w:sz w:val="20"/>
          <w:szCs w:val="20"/>
        </w:rPr>
        <w:t>3. The instructions shall be applicable with immediate effect. The </w:t>
      </w:r>
      <w:hyperlink r:id="rId62" w:tgtFrame="_blank" w:history="1">
        <w:r>
          <w:rPr>
            <w:rStyle w:val="Hyperlink"/>
            <w:rFonts w:ascii="Arial" w:hAnsi="Arial" w:cs="Arial"/>
            <w:sz w:val="20"/>
            <w:szCs w:val="20"/>
          </w:rPr>
          <w:t>updated Directions</w:t>
        </w:r>
      </w:hyperlink>
      <w:r>
        <w:rPr>
          <w:rFonts w:ascii="Arial" w:hAnsi="Arial" w:cs="Arial"/>
          <w:color w:val="000000"/>
          <w:sz w:val="20"/>
          <w:szCs w:val="20"/>
        </w:rPr>
        <w:t> are attached.</w:t>
      </w:r>
    </w:p>
    <w:p w:rsidR="00BA0C06" w:rsidRDefault="00BA0C06" w:rsidP="00BA0C06">
      <w:pPr>
        <w:pStyle w:val="NormalWeb"/>
        <w:rPr>
          <w:rFonts w:ascii="Arial" w:hAnsi="Arial" w:cs="Arial"/>
          <w:color w:val="000000"/>
          <w:sz w:val="20"/>
          <w:szCs w:val="20"/>
        </w:rPr>
      </w:pPr>
      <w:r>
        <w:rPr>
          <w:rFonts w:ascii="Arial" w:hAnsi="Arial" w:cs="Arial"/>
          <w:color w:val="000000"/>
          <w:sz w:val="20"/>
          <w:szCs w:val="20"/>
        </w:rPr>
        <w:t>4. The instructions contained in this circular have been issued in exercise of the powers conferred under section 45W of the Reserve Bank of India Act, 1934 read with section 45U of the Act and of all the powers enabling it in this behalf.</w:t>
      </w:r>
    </w:p>
    <w:p w:rsidR="00BA0C06" w:rsidRDefault="00BA0C06" w:rsidP="00BA0C06">
      <w:pPr>
        <w:pStyle w:val="NormalWeb"/>
        <w:rPr>
          <w:rFonts w:ascii="Arial" w:hAnsi="Arial" w:cs="Arial"/>
          <w:color w:val="000000"/>
          <w:sz w:val="20"/>
          <w:szCs w:val="20"/>
        </w:rPr>
      </w:pPr>
      <w:r>
        <w:rPr>
          <w:rFonts w:ascii="Arial" w:hAnsi="Arial" w:cs="Arial"/>
          <w:color w:val="000000"/>
          <w:sz w:val="20"/>
          <w:szCs w:val="20"/>
        </w:rPr>
        <w:t>Yours faithfully,</w:t>
      </w:r>
    </w:p>
    <w:p w:rsidR="00BA0C06" w:rsidRDefault="00BA0C06" w:rsidP="00BA0C06">
      <w:pPr>
        <w:pStyle w:val="NormalWeb"/>
        <w:rPr>
          <w:rFonts w:ascii="Arial" w:hAnsi="Arial" w:cs="Arial"/>
          <w:color w:val="000000"/>
          <w:sz w:val="20"/>
          <w:szCs w:val="20"/>
        </w:rPr>
      </w:pPr>
      <w:r>
        <w:rPr>
          <w:rFonts w:ascii="Arial" w:hAnsi="Arial" w:cs="Arial"/>
          <w:color w:val="000000"/>
          <w:sz w:val="20"/>
          <w:szCs w:val="20"/>
        </w:rPr>
        <w:t xml:space="preserve">(Dimple </w:t>
      </w:r>
      <w:proofErr w:type="spellStart"/>
      <w:r>
        <w:rPr>
          <w:rFonts w:ascii="Arial" w:hAnsi="Arial" w:cs="Arial"/>
          <w:color w:val="000000"/>
          <w:sz w:val="20"/>
          <w:szCs w:val="20"/>
        </w:rPr>
        <w:t>Bhandia</w:t>
      </w:r>
      <w:proofErr w:type="spellEnd"/>
      <w:r>
        <w:rPr>
          <w:rFonts w:ascii="Arial" w:hAnsi="Arial" w:cs="Arial"/>
          <w:color w:val="000000"/>
          <w:sz w:val="20"/>
          <w:szCs w:val="20"/>
        </w:rPr>
        <w:t>)</w:t>
      </w:r>
      <w:r>
        <w:rPr>
          <w:rFonts w:ascii="Arial" w:hAnsi="Arial" w:cs="Arial"/>
          <w:color w:val="000000"/>
          <w:sz w:val="20"/>
          <w:szCs w:val="20"/>
        </w:rPr>
        <w:br/>
        <w:t>Chief General Manager</w:t>
      </w:r>
    </w:p>
    <w:p w:rsidR="00BA0C06" w:rsidRDefault="00BA0C06" w:rsidP="00BA0C06"/>
    <w:p w:rsidR="00BA0C06" w:rsidRDefault="00BA0C06" w:rsidP="00BA0C06"/>
    <w:p w:rsidR="00BA0C06" w:rsidRDefault="00BA0C06" w:rsidP="00BA0C06"/>
    <w:p w:rsidR="00BA0C06" w:rsidRDefault="00BA0C06" w:rsidP="00BA0C06"/>
    <w:p w:rsidR="00BA0C06" w:rsidRDefault="00BA0C06" w:rsidP="00BA0C06">
      <w:r>
        <w:t>More details can be referred to in the below link.</w:t>
      </w:r>
    </w:p>
    <w:p w:rsidR="00BA0C06" w:rsidRDefault="00BA0C06" w:rsidP="00BA0C06">
      <w:pPr>
        <w:rPr>
          <w:rFonts w:ascii="Arial" w:hAnsi="Arial" w:cs="Arial"/>
          <w:sz w:val="20"/>
          <w:szCs w:val="20"/>
        </w:rPr>
      </w:pPr>
      <w:r>
        <w:rPr>
          <w:rFonts w:ascii="Arial" w:hAnsi="Arial" w:cs="Arial"/>
          <w:sz w:val="20"/>
          <w:szCs w:val="20"/>
        </w:rPr>
        <w:t xml:space="preserve">Reference Link: </w:t>
      </w:r>
      <w:hyperlink r:id="rId63" w:history="1">
        <w:r w:rsidRPr="00200311">
          <w:rPr>
            <w:rStyle w:val="Hyperlink"/>
            <w:rFonts w:ascii="Arial" w:hAnsi="Arial" w:cs="Arial"/>
            <w:sz w:val="20"/>
            <w:szCs w:val="20"/>
          </w:rPr>
          <w:t>https://m.rbi.org.in/scripts/FS_Notification.aspx?Id=12374&amp;fn=6&amp;Mode=0</w:t>
        </w:r>
      </w:hyperlink>
    </w:p>
    <w:p w:rsidR="00BA0C06" w:rsidRDefault="00BA0C06" w:rsidP="00BA0C06">
      <w:pPr>
        <w:rPr>
          <w:rFonts w:ascii="Arial" w:hAnsi="Arial" w:cs="Arial"/>
          <w:sz w:val="20"/>
          <w:szCs w:val="20"/>
        </w:rPr>
      </w:pPr>
    </w:p>
    <w:p w:rsidR="00BA0C06" w:rsidRDefault="00BA0C06" w:rsidP="00BA0C06">
      <w:pPr>
        <w:rPr>
          <w:rFonts w:ascii="Arial" w:hAnsi="Arial" w:cs="Arial"/>
          <w:bCs/>
          <w:color w:val="000000"/>
          <w:sz w:val="20"/>
          <w:szCs w:val="20"/>
        </w:rPr>
      </w:pPr>
    </w:p>
    <w:p w:rsidR="00BA0C06" w:rsidRDefault="00BA0C06" w:rsidP="00BA0C06">
      <w:pPr>
        <w:rPr>
          <w:rFonts w:ascii="Arial" w:hAnsi="Arial" w:cs="Arial"/>
          <w:bCs/>
          <w:color w:val="000000"/>
          <w:sz w:val="20"/>
          <w:szCs w:val="20"/>
        </w:rPr>
      </w:pPr>
    </w:p>
    <w:p w:rsidR="00BA0C06" w:rsidRDefault="00BA0C06" w:rsidP="00BA0C06">
      <w:pPr>
        <w:rPr>
          <w:rFonts w:ascii="Arial" w:hAnsi="Arial" w:cs="Arial"/>
          <w:bCs/>
          <w:color w:val="000000"/>
          <w:sz w:val="20"/>
          <w:szCs w:val="20"/>
        </w:rPr>
      </w:pPr>
    </w:p>
    <w:p w:rsidR="00BA0C06" w:rsidRDefault="00BA0C06" w:rsidP="00BA0C06">
      <w:pPr>
        <w:rPr>
          <w:rFonts w:ascii="Arial" w:hAnsi="Arial" w:cs="Arial"/>
          <w:bCs/>
          <w:color w:val="000000"/>
          <w:sz w:val="20"/>
          <w:szCs w:val="20"/>
        </w:rPr>
      </w:pPr>
    </w:p>
    <w:p w:rsidR="0001090D" w:rsidRDefault="0001090D" w:rsidP="0001090D">
      <w:pPr>
        <w:rPr>
          <w:rFonts w:ascii="Arial" w:hAnsi="Arial" w:cs="Arial"/>
          <w:b/>
          <w:bCs/>
          <w:color w:val="000000"/>
          <w:sz w:val="20"/>
          <w:szCs w:val="20"/>
        </w:rPr>
      </w:pPr>
      <w:r>
        <w:rPr>
          <w:rFonts w:ascii="Arial" w:hAnsi="Arial" w:cs="Arial"/>
          <w:b/>
          <w:bCs/>
          <w:color w:val="000000"/>
          <w:sz w:val="20"/>
          <w:szCs w:val="20"/>
        </w:rPr>
        <w:t>Section 23 of the Banking Regulation Act, 1949 (As Applicable to Co-operative Societies) – Opening of new place of business by District Central Co-operative Banks (DCCBs)</w:t>
      </w:r>
    </w:p>
    <w:p w:rsidR="0001090D" w:rsidRDefault="0001090D" w:rsidP="0001090D">
      <w:pPr>
        <w:pStyle w:val="NormalWeb"/>
        <w:jc w:val="both"/>
        <w:rPr>
          <w:rFonts w:ascii="Arial" w:hAnsi="Arial" w:cs="Arial"/>
          <w:color w:val="000000"/>
          <w:sz w:val="20"/>
          <w:szCs w:val="20"/>
        </w:rPr>
      </w:pPr>
      <w:r>
        <w:rPr>
          <w:rFonts w:ascii="Arial" w:hAnsi="Arial" w:cs="Arial"/>
          <w:color w:val="000000"/>
          <w:sz w:val="20"/>
          <w:szCs w:val="20"/>
        </w:rPr>
        <w:t>RBI/2022-23/106</w:t>
      </w:r>
      <w:r>
        <w:rPr>
          <w:rFonts w:ascii="Arial" w:hAnsi="Arial" w:cs="Arial"/>
          <w:color w:val="000000"/>
          <w:sz w:val="20"/>
          <w:szCs w:val="20"/>
        </w:rPr>
        <w:br/>
        <w:t>DOR.REG.No.63/19.51.052/2022-23</w:t>
      </w:r>
    </w:p>
    <w:p w:rsidR="0001090D" w:rsidRDefault="0001090D" w:rsidP="0001090D">
      <w:pPr>
        <w:pStyle w:val="NormalWeb"/>
        <w:jc w:val="right"/>
        <w:rPr>
          <w:rFonts w:ascii="Arial" w:hAnsi="Arial" w:cs="Arial"/>
          <w:color w:val="000000"/>
          <w:sz w:val="20"/>
          <w:szCs w:val="20"/>
        </w:rPr>
      </w:pPr>
      <w:r>
        <w:rPr>
          <w:rFonts w:ascii="Arial" w:hAnsi="Arial" w:cs="Arial"/>
          <w:color w:val="000000"/>
          <w:sz w:val="20"/>
          <w:szCs w:val="20"/>
        </w:rPr>
        <w:t>August 11, 2022</w:t>
      </w:r>
    </w:p>
    <w:p w:rsidR="0001090D" w:rsidRDefault="0001090D" w:rsidP="0001090D">
      <w:pPr>
        <w:pStyle w:val="NormalWeb"/>
        <w:jc w:val="both"/>
        <w:rPr>
          <w:rFonts w:ascii="Arial" w:hAnsi="Arial" w:cs="Arial"/>
          <w:color w:val="000000"/>
          <w:sz w:val="20"/>
          <w:szCs w:val="20"/>
        </w:rPr>
      </w:pPr>
      <w:r>
        <w:rPr>
          <w:rFonts w:ascii="Arial" w:hAnsi="Arial" w:cs="Arial"/>
          <w:color w:val="000000"/>
          <w:sz w:val="20"/>
          <w:szCs w:val="20"/>
        </w:rPr>
        <w:t>All District Central Co-operative Banks</w:t>
      </w:r>
    </w:p>
    <w:p w:rsidR="0001090D" w:rsidRDefault="0001090D" w:rsidP="0001090D">
      <w:pPr>
        <w:pStyle w:val="NormalWeb"/>
        <w:jc w:val="both"/>
        <w:rPr>
          <w:rFonts w:ascii="Arial" w:hAnsi="Arial" w:cs="Arial"/>
          <w:color w:val="000000"/>
          <w:sz w:val="20"/>
          <w:szCs w:val="20"/>
        </w:rPr>
      </w:pPr>
      <w:r>
        <w:rPr>
          <w:rFonts w:ascii="Arial" w:hAnsi="Arial" w:cs="Arial"/>
          <w:color w:val="000000"/>
          <w:sz w:val="20"/>
          <w:szCs w:val="20"/>
        </w:rPr>
        <w:t>Madam/Sir,</w:t>
      </w:r>
    </w:p>
    <w:p w:rsidR="0001090D" w:rsidRDefault="0001090D" w:rsidP="0001090D">
      <w:pPr>
        <w:pStyle w:val="head"/>
        <w:jc w:val="both"/>
        <w:rPr>
          <w:rFonts w:ascii="Arial" w:hAnsi="Arial" w:cs="Arial"/>
          <w:b/>
          <w:bCs/>
          <w:color w:val="000000"/>
          <w:sz w:val="20"/>
          <w:szCs w:val="20"/>
        </w:rPr>
      </w:pPr>
      <w:r>
        <w:rPr>
          <w:rFonts w:ascii="Arial" w:hAnsi="Arial" w:cs="Arial"/>
          <w:b/>
          <w:bCs/>
          <w:color w:val="000000"/>
          <w:sz w:val="20"/>
          <w:szCs w:val="20"/>
        </w:rPr>
        <w:t>Section 23 of the Banking Regulation Act, 1949 (As Applicable to Co-operative Societies) – Opening of new place of business by District Central Co-operative Banks (DCCBs)</w:t>
      </w:r>
    </w:p>
    <w:p w:rsidR="0001090D" w:rsidRDefault="0001090D" w:rsidP="0001090D">
      <w:pPr>
        <w:pStyle w:val="NormalWeb"/>
        <w:jc w:val="both"/>
        <w:rPr>
          <w:rFonts w:ascii="Arial" w:hAnsi="Arial" w:cs="Arial"/>
          <w:color w:val="000000"/>
          <w:sz w:val="20"/>
          <w:szCs w:val="20"/>
        </w:rPr>
      </w:pPr>
      <w:r>
        <w:rPr>
          <w:rFonts w:ascii="Arial" w:hAnsi="Arial" w:cs="Arial"/>
          <w:color w:val="000000"/>
          <w:sz w:val="20"/>
          <w:szCs w:val="20"/>
        </w:rPr>
        <w:t>Pursuant to the amendment to the Banking Regulation Act (No.39 of 2020) dated September 29, 2020, District Central Co-operative Banks (DCCBs) are permitted to open new place of business/install ATMs or shift the location of such offices only after obtaining prior approval of the Reserve Bank of India (RBI). Accordingly, it has been decided to issue guidelines with details of the criteria and procedure for submission of application by DCCBs for opening new place of business/installation of ATMs.</w:t>
      </w:r>
    </w:p>
    <w:p w:rsidR="0001090D" w:rsidRDefault="0001090D" w:rsidP="0001090D">
      <w:pPr>
        <w:pStyle w:val="NormalWeb"/>
        <w:jc w:val="both"/>
        <w:rPr>
          <w:rFonts w:ascii="Arial" w:hAnsi="Arial" w:cs="Arial"/>
          <w:color w:val="000000"/>
          <w:sz w:val="20"/>
          <w:szCs w:val="20"/>
        </w:rPr>
      </w:pPr>
      <w:r>
        <w:rPr>
          <w:rFonts w:ascii="Arial" w:hAnsi="Arial" w:cs="Arial"/>
          <w:color w:val="000000"/>
          <w:sz w:val="20"/>
          <w:szCs w:val="20"/>
        </w:rPr>
        <w:t>2. The criteria for opening of branches/extension counters/specialized branches/regional offices/zonal offices/administrative offices/shifting of branches/upgradation of extension counters into full-fledged branches by a DCCB are as follows:</w:t>
      </w:r>
    </w:p>
    <w:p w:rsidR="0001090D" w:rsidRDefault="0001090D" w:rsidP="00DA1141">
      <w:pPr>
        <w:pStyle w:val="NormalWeb"/>
        <w:numPr>
          <w:ilvl w:val="0"/>
          <w:numId w:val="7"/>
        </w:numPr>
        <w:ind w:left="0"/>
        <w:jc w:val="both"/>
        <w:rPr>
          <w:rFonts w:ascii="Arial" w:hAnsi="Arial" w:cs="Arial"/>
          <w:color w:val="000000"/>
          <w:sz w:val="20"/>
          <w:szCs w:val="20"/>
        </w:rPr>
      </w:pPr>
      <w:r>
        <w:rPr>
          <w:rFonts w:ascii="Arial" w:hAnsi="Arial" w:cs="Arial"/>
          <w:color w:val="000000"/>
          <w:sz w:val="20"/>
          <w:szCs w:val="20"/>
        </w:rPr>
        <w:t>A licensed DCCB should have completed at least three years of operation</w:t>
      </w:r>
    </w:p>
    <w:p w:rsidR="0001090D" w:rsidRDefault="0001090D" w:rsidP="00DA1141">
      <w:pPr>
        <w:pStyle w:val="NormalWeb"/>
        <w:numPr>
          <w:ilvl w:val="0"/>
          <w:numId w:val="7"/>
        </w:numPr>
        <w:ind w:left="0"/>
        <w:jc w:val="both"/>
        <w:rPr>
          <w:rFonts w:ascii="Arial" w:hAnsi="Arial" w:cs="Arial"/>
          <w:color w:val="000000"/>
          <w:sz w:val="20"/>
          <w:szCs w:val="20"/>
        </w:rPr>
      </w:pPr>
      <w:r>
        <w:rPr>
          <w:rFonts w:ascii="Arial" w:hAnsi="Arial" w:cs="Arial"/>
          <w:color w:val="000000"/>
          <w:sz w:val="20"/>
          <w:szCs w:val="20"/>
        </w:rPr>
        <w:t>CRAR not being less than 9 per cent</w:t>
      </w:r>
    </w:p>
    <w:p w:rsidR="0001090D" w:rsidRDefault="0001090D" w:rsidP="00DA1141">
      <w:pPr>
        <w:pStyle w:val="NormalWeb"/>
        <w:numPr>
          <w:ilvl w:val="0"/>
          <w:numId w:val="7"/>
        </w:numPr>
        <w:ind w:left="0"/>
        <w:jc w:val="both"/>
        <w:rPr>
          <w:rFonts w:ascii="Arial" w:hAnsi="Arial" w:cs="Arial"/>
          <w:color w:val="000000"/>
          <w:sz w:val="20"/>
          <w:szCs w:val="20"/>
        </w:rPr>
      </w:pPr>
      <w:r>
        <w:rPr>
          <w:rFonts w:ascii="Arial" w:hAnsi="Arial" w:cs="Arial"/>
          <w:color w:val="000000"/>
          <w:sz w:val="20"/>
          <w:szCs w:val="20"/>
        </w:rPr>
        <w:t>No default in maintenance of CRR/SLR during the preceding financial year</w:t>
      </w:r>
    </w:p>
    <w:p w:rsidR="0001090D" w:rsidRDefault="0001090D" w:rsidP="00DA1141">
      <w:pPr>
        <w:pStyle w:val="NormalWeb"/>
        <w:numPr>
          <w:ilvl w:val="0"/>
          <w:numId w:val="7"/>
        </w:numPr>
        <w:ind w:left="0"/>
        <w:jc w:val="both"/>
        <w:rPr>
          <w:rFonts w:ascii="Arial" w:hAnsi="Arial" w:cs="Arial"/>
          <w:color w:val="000000"/>
          <w:sz w:val="20"/>
          <w:szCs w:val="20"/>
        </w:rPr>
      </w:pPr>
      <w:r>
        <w:rPr>
          <w:rFonts w:ascii="Arial" w:hAnsi="Arial" w:cs="Arial"/>
          <w:color w:val="000000"/>
          <w:sz w:val="20"/>
          <w:szCs w:val="20"/>
        </w:rPr>
        <w:t>Net NPA being less than 5 per cent</w:t>
      </w:r>
    </w:p>
    <w:p w:rsidR="0001090D" w:rsidRDefault="0001090D" w:rsidP="00DA1141">
      <w:pPr>
        <w:pStyle w:val="NormalWeb"/>
        <w:numPr>
          <w:ilvl w:val="0"/>
          <w:numId w:val="7"/>
        </w:numPr>
        <w:ind w:left="0"/>
        <w:jc w:val="both"/>
        <w:rPr>
          <w:rFonts w:ascii="Arial" w:hAnsi="Arial" w:cs="Arial"/>
          <w:color w:val="000000"/>
          <w:sz w:val="20"/>
          <w:szCs w:val="20"/>
        </w:rPr>
      </w:pPr>
      <w:r>
        <w:rPr>
          <w:rFonts w:ascii="Arial" w:hAnsi="Arial" w:cs="Arial"/>
          <w:color w:val="000000"/>
          <w:sz w:val="20"/>
          <w:szCs w:val="20"/>
        </w:rPr>
        <w:t>The bank should have made a net profit during the preceding two financial years</w:t>
      </w:r>
    </w:p>
    <w:p w:rsidR="0001090D" w:rsidRDefault="0001090D" w:rsidP="00DA1141">
      <w:pPr>
        <w:pStyle w:val="NormalWeb"/>
        <w:numPr>
          <w:ilvl w:val="0"/>
          <w:numId w:val="7"/>
        </w:numPr>
        <w:ind w:left="0"/>
        <w:jc w:val="both"/>
        <w:rPr>
          <w:rFonts w:ascii="Arial" w:hAnsi="Arial" w:cs="Arial"/>
          <w:color w:val="000000"/>
          <w:sz w:val="20"/>
          <w:szCs w:val="20"/>
        </w:rPr>
      </w:pPr>
      <w:r>
        <w:rPr>
          <w:rFonts w:ascii="Arial" w:hAnsi="Arial" w:cs="Arial"/>
          <w:color w:val="000000"/>
          <w:sz w:val="20"/>
          <w:szCs w:val="20"/>
        </w:rPr>
        <w:t>The bank should have a good track record of regulatory compliance and no monetary penalty should have been imposed on the bank for violation of Reserve Bank of India directives/guidelines during last two financial years</w:t>
      </w:r>
    </w:p>
    <w:p w:rsidR="0001090D" w:rsidRDefault="0001090D" w:rsidP="00DA1141">
      <w:pPr>
        <w:pStyle w:val="NormalWeb"/>
        <w:numPr>
          <w:ilvl w:val="0"/>
          <w:numId w:val="7"/>
        </w:numPr>
        <w:ind w:left="0"/>
        <w:jc w:val="both"/>
        <w:rPr>
          <w:rFonts w:ascii="Arial" w:hAnsi="Arial" w:cs="Arial"/>
          <w:color w:val="000000"/>
          <w:sz w:val="20"/>
          <w:szCs w:val="20"/>
        </w:rPr>
      </w:pPr>
      <w:r>
        <w:rPr>
          <w:rFonts w:ascii="Arial" w:hAnsi="Arial" w:cs="Arial"/>
          <w:color w:val="000000"/>
          <w:sz w:val="20"/>
          <w:szCs w:val="20"/>
        </w:rPr>
        <w:t>The bank should not have been placed under any specific direction issued by Reserve Bank of India during the preceding two financial years</w:t>
      </w:r>
    </w:p>
    <w:p w:rsidR="0001090D" w:rsidRDefault="0001090D" w:rsidP="0001090D">
      <w:pPr>
        <w:pStyle w:val="NormalWeb"/>
        <w:rPr>
          <w:rFonts w:ascii="Arial" w:hAnsi="Arial" w:cs="Arial"/>
          <w:color w:val="000000"/>
          <w:sz w:val="20"/>
          <w:szCs w:val="20"/>
        </w:rPr>
      </w:pPr>
      <w:r>
        <w:rPr>
          <w:rFonts w:ascii="Arial" w:hAnsi="Arial" w:cs="Arial"/>
          <w:color w:val="000000"/>
          <w:sz w:val="20"/>
          <w:szCs w:val="20"/>
        </w:rPr>
        <w:t>The above parameters will be considered as they appear in the latest inspection report of NABARD.</w:t>
      </w:r>
    </w:p>
    <w:p w:rsidR="0001090D" w:rsidRDefault="0001090D" w:rsidP="0001090D">
      <w:pPr>
        <w:pStyle w:val="NormalWeb"/>
        <w:spacing w:after="0" w:afterAutospacing="0"/>
        <w:jc w:val="both"/>
        <w:rPr>
          <w:rFonts w:ascii="Arial" w:hAnsi="Arial" w:cs="Arial"/>
          <w:color w:val="000000"/>
          <w:sz w:val="20"/>
          <w:szCs w:val="20"/>
        </w:rPr>
      </w:pPr>
      <w:r>
        <w:rPr>
          <w:rFonts w:ascii="Arial" w:hAnsi="Arial" w:cs="Arial"/>
          <w:color w:val="000000"/>
          <w:sz w:val="20"/>
          <w:szCs w:val="20"/>
        </w:rPr>
        <w:t>Yours faithfully,</w:t>
      </w:r>
    </w:p>
    <w:p w:rsidR="0001090D" w:rsidRDefault="0001090D" w:rsidP="0001090D">
      <w:pPr>
        <w:pStyle w:val="NormalWeb"/>
        <w:spacing w:before="0" w:beforeAutospacing="0" w:after="0" w:afterAutospacing="0"/>
        <w:rPr>
          <w:rFonts w:ascii="Arial" w:hAnsi="Arial" w:cs="Arial"/>
          <w:color w:val="000000"/>
          <w:sz w:val="20"/>
          <w:szCs w:val="20"/>
        </w:rPr>
      </w:pPr>
      <w:r>
        <w:rPr>
          <w:rFonts w:ascii="Arial" w:hAnsi="Arial" w:cs="Arial"/>
          <w:color w:val="000000"/>
          <w:sz w:val="20"/>
          <w:szCs w:val="20"/>
        </w:rPr>
        <w:t xml:space="preserve">(Prakash </w:t>
      </w:r>
      <w:proofErr w:type="spellStart"/>
      <w:r>
        <w:rPr>
          <w:rFonts w:ascii="Arial" w:hAnsi="Arial" w:cs="Arial"/>
          <w:color w:val="000000"/>
          <w:sz w:val="20"/>
          <w:szCs w:val="20"/>
        </w:rPr>
        <w:t>Baliarsingh</w:t>
      </w:r>
      <w:proofErr w:type="spellEnd"/>
      <w:r>
        <w:rPr>
          <w:rFonts w:ascii="Arial" w:hAnsi="Arial" w:cs="Arial"/>
          <w:color w:val="000000"/>
          <w:sz w:val="20"/>
          <w:szCs w:val="20"/>
        </w:rPr>
        <w:t>)</w:t>
      </w:r>
      <w:r>
        <w:rPr>
          <w:rFonts w:ascii="Arial" w:hAnsi="Arial" w:cs="Arial"/>
          <w:color w:val="000000"/>
          <w:sz w:val="20"/>
          <w:szCs w:val="20"/>
        </w:rPr>
        <w:br/>
        <w:t>Chief General Manager</w:t>
      </w:r>
    </w:p>
    <w:p w:rsidR="0001090D" w:rsidRDefault="0001090D" w:rsidP="0001090D">
      <w:pPr>
        <w:rPr>
          <w:rFonts w:ascii="Arial" w:hAnsi="Arial" w:cs="Arial"/>
          <w:sz w:val="20"/>
          <w:szCs w:val="20"/>
        </w:rPr>
      </w:pPr>
    </w:p>
    <w:p w:rsidR="0001090D" w:rsidRDefault="0001090D" w:rsidP="0001090D">
      <w:pPr>
        <w:rPr>
          <w:rFonts w:ascii="Arial" w:hAnsi="Arial" w:cs="Arial"/>
          <w:sz w:val="20"/>
          <w:szCs w:val="20"/>
        </w:rPr>
      </w:pPr>
    </w:p>
    <w:p w:rsidR="0001090D" w:rsidRDefault="0001090D" w:rsidP="0001090D">
      <w:pPr>
        <w:rPr>
          <w:rFonts w:ascii="Arial" w:hAnsi="Arial" w:cs="Arial"/>
          <w:sz w:val="20"/>
          <w:szCs w:val="20"/>
        </w:rPr>
      </w:pPr>
    </w:p>
    <w:p w:rsidR="0001090D" w:rsidRDefault="0001090D" w:rsidP="0001090D">
      <w:pPr>
        <w:rPr>
          <w:rFonts w:ascii="Arial" w:hAnsi="Arial" w:cs="Arial"/>
          <w:sz w:val="20"/>
          <w:szCs w:val="20"/>
        </w:rPr>
      </w:pPr>
    </w:p>
    <w:p w:rsidR="0001090D" w:rsidRDefault="0001090D" w:rsidP="0001090D">
      <w:r>
        <w:t>More details can be referred to in the below link.</w:t>
      </w:r>
    </w:p>
    <w:p w:rsidR="0001090D" w:rsidRDefault="0001090D" w:rsidP="0001090D">
      <w:pPr>
        <w:rPr>
          <w:rFonts w:ascii="Arial" w:hAnsi="Arial" w:cs="Arial"/>
          <w:bCs/>
          <w:color w:val="000000"/>
          <w:sz w:val="20"/>
          <w:szCs w:val="20"/>
        </w:rPr>
      </w:pPr>
      <w:r>
        <w:rPr>
          <w:rFonts w:ascii="Arial" w:hAnsi="Arial" w:cs="Arial"/>
          <w:bCs/>
          <w:color w:val="000000"/>
          <w:sz w:val="20"/>
          <w:szCs w:val="20"/>
        </w:rPr>
        <w:t xml:space="preserve">Reference Link: </w:t>
      </w:r>
      <w:hyperlink r:id="rId64" w:history="1">
        <w:r w:rsidRPr="00735218">
          <w:rPr>
            <w:rStyle w:val="Hyperlink"/>
            <w:rFonts w:ascii="Arial" w:hAnsi="Arial" w:cs="Arial"/>
            <w:bCs/>
            <w:sz w:val="20"/>
            <w:szCs w:val="20"/>
          </w:rPr>
          <w:t>https://www.rbi.org.in/scripts/NotificationUser.aspx?Id=12375&amp;Mode=0</w:t>
        </w:r>
      </w:hyperlink>
    </w:p>
    <w:p w:rsidR="0001090D" w:rsidRDefault="0001090D" w:rsidP="0001090D">
      <w:pPr>
        <w:rPr>
          <w:rFonts w:ascii="Arial" w:hAnsi="Arial" w:cs="Arial"/>
          <w:sz w:val="20"/>
          <w:szCs w:val="20"/>
        </w:rPr>
      </w:pPr>
    </w:p>
    <w:p w:rsidR="0001090D" w:rsidRDefault="0001090D" w:rsidP="0001090D">
      <w:pPr>
        <w:rPr>
          <w:rFonts w:ascii="Arial" w:hAnsi="Arial" w:cs="Arial"/>
          <w:sz w:val="20"/>
          <w:szCs w:val="20"/>
        </w:rPr>
      </w:pPr>
    </w:p>
    <w:p w:rsidR="00BA0C06" w:rsidRDefault="00BA0C06" w:rsidP="00BA0C06">
      <w:pPr>
        <w:rPr>
          <w:rFonts w:ascii="Arial" w:hAnsi="Arial" w:cs="Arial"/>
          <w:bCs/>
          <w:color w:val="000000"/>
          <w:sz w:val="20"/>
          <w:szCs w:val="20"/>
        </w:rPr>
      </w:pPr>
    </w:p>
    <w:p w:rsidR="0001090D" w:rsidRDefault="0001090D" w:rsidP="00BA0C06">
      <w:pPr>
        <w:rPr>
          <w:rFonts w:ascii="Arial" w:hAnsi="Arial" w:cs="Arial"/>
          <w:bCs/>
          <w:color w:val="000000"/>
          <w:sz w:val="20"/>
          <w:szCs w:val="20"/>
        </w:rPr>
      </w:pPr>
    </w:p>
    <w:p w:rsidR="0001090D" w:rsidRDefault="0001090D" w:rsidP="00BA0C06">
      <w:pPr>
        <w:rPr>
          <w:rFonts w:ascii="Arial" w:hAnsi="Arial" w:cs="Arial"/>
          <w:bCs/>
          <w:color w:val="000000"/>
          <w:sz w:val="20"/>
          <w:szCs w:val="20"/>
        </w:rPr>
      </w:pPr>
    </w:p>
    <w:p w:rsidR="0001090D" w:rsidRDefault="0001090D" w:rsidP="0001090D">
      <w:pPr>
        <w:rPr>
          <w:rFonts w:ascii="Arial" w:hAnsi="Arial" w:cs="Arial"/>
          <w:b/>
          <w:bCs/>
          <w:color w:val="000000"/>
          <w:sz w:val="20"/>
          <w:szCs w:val="20"/>
        </w:rPr>
      </w:pPr>
      <w:r>
        <w:rPr>
          <w:rFonts w:ascii="Arial" w:hAnsi="Arial" w:cs="Arial"/>
          <w:b/>
          <w:bCs/>
          <w:color w:val="000000"/>
          <w:sz w:val="20"/>
          <w:szCs w:val="20"/>
        </w:rPr>
        <w:t>Bilateral Netting of Qualified Financial Contracts - Amendments to Prudential Guidelines</w:t>
      </w:r>
    </w:p>
    <w:p w:rsidR="0001090D" w:rsidRDefault="0001090D" w:rsidP="0001090D">
      <w:pPr>
        <w:pStyle w:val="NormalWeb"/>
        <w:jc w:val="both"/>
        <w:rPr>
          <w:rFonts w:ascii="Arial" w:hAnsi="Arial" w:cs="Arial"/>
          <w:color w:val="000000"/>
          <w:sz w:val="20"/>
          <w:szCs w:val="20"/>
        </w:rPr>
      </w:pPr>
      <w:r>
        <w:rPr>
          <w:rFonts w:ascii="Arial" w:hAnsi="Arial" w:cs="Arial"/>
          <w:color w:val="000000"/>
          <w:sz w:val="20"/>
          <w:szCs w:val="20"/>
        </w:rPr>
        <w:t>RBI/2022-23/107</w:t>
      </w:r>
      <w:r>
        <w:rPr>
          <w:rFonts w:ascii="Arial" w:hAnsi="Arial" w:cs="Arial"/>
          <w:color w:val="000000"/>
          <w:sz w:val="20"/>
          <w:szCs w:val="20"/>
        </w:rPr>
        <w:br/>
        <w:t>DOR.MRG.REC.64/00-00-005/2022-23</w:t>
      </w:r>
    </w:p>
    <w:p w:rsidR="0001090D" w:rsidRDefault="0001090D" w:rsidP="0001090D">
      <w:pPr>
        <w:pStyle w:val="NormalWeb"/>
        <w:jc w:val="right"/>
        <w:rPr>
          <w:rFonts w:ascii="Arial" w:hAnsi="Arial" w:cs="Arial"/>
          <w:color w:val="000000"/>
          <w:sz w:val="20"/>
          <w:szCs w:val="20"/>
        </w:rPr>
      </w:pPr>
      <w:r>
        <w:rPr>
          <w:rFonts w:ascii="Arial" w:hAnsi="Arial" w:cs="Arial"/>
          <w:color w:val="000000"/>
          <w:sz w:val="20"/>
          <w:szCs w:val="20"/>
        </w:rPr>
        <w:t>August 11, 2022</w:t>
      </w:r>
    </w:p>
    <w:p w:rsidR="0001090D" w:rsidRDefault="0001090D" w:rsidP="0001090D">
      <w:pPr>
        <w:pStyle w:val="NormalWeb"/>
        <w:jc w:val="both"/>
        <w:rPr>
          <w:rFonts w:ascii="Arial" w:hAnsi="Arial" w:cs="Arial"/>
          <w:color w:val="000000"/>
          <w:sz w:val="20"/>
          <w:szCs w:val="20"/>
        </w:rPr>
      </w:pPr>
      <w:r>
        <w:rPr>
          <w:rFonts w:ascii="Arial" w:hAnsi="Arial" w:cs="Arial"/>
          <w:color w:val="000000"/>
          <w:sz w:val="20"/>
          <w:szCs w:val="20"/>
        </w:rPr>
        <w:t>Dear Sir / Madam,</w:t>
      </w:r>
    </w:p>
    <w:p w:rsidR="0001090D" w:rsidRDefault="0001090D" w:rsidP="0001090D">
      <w:pPr>
        <w:pStyle w:val="head"/>
        <w:jc w:val="both"/>
        <w:rPr>
          <w:rFonts w:ascii="Arial" w:hAnsi="Arial" w:cs="Arial"/>
          <w:b/>
          <w:bCs/>
          <w:color w:val="000000"/>
          <w:sz w:val="20"/>
          <w:szCs w:val="20"/>
        </w:rPr>
      </w:pPr>
      <w:r>
        <w:rPr>
          <w:rFonts w:ascii="Arial" w:hAnsi="Arial" w:cs="Arial"/>
          <w:b/>
          <w:bCs/>
          <w:color w:val="000000"/>
          <w:sz w:val="20"/>
          <w:szCs w:val="20"/>
        </w:rPr>
        <w:t>Bilateral Netting of Qualified Financial Contracts - Amendments to Prudential Guidelines</w:t>
      </w:r>
    </w:p>
    <w:p w:rsidR="0001090D" w:rsidRDefault="0001090D" w:rsidP="0001090D">
      <w:pPr>
        <w:pStyle w:val="NormalWeb"/>
        <w:jc w:val="both"/>
        <w:rPr>
          <w:rFonts w:ascii="Arial" w:hAnsi="Arial" w:cs="Arial"/>
          <w:color w:val="000000"/>
          <w:sz w:val="20"/>
          <w:szCs w:val="20"/>
        </w:rPr>
      </w:pPr>
      <w:r>
        <w:rPr>
          <w:rFonts w:ascii="Arial" w:hAnsi="Arial" w:cs="Arial"/>
          <w:color w:val="000000"/>
          <w:sz w:val="20"/>
          <w:szCs w:val="20"/>
        </w:rPr>
        <w:t>Please refer to the </w:t>
      </w:r>
      <w:hyperlink r:id="rId65" w:tgtFrame="_blank" w:history="1">
        <w:r>
          <w:rPr>
            <w:rStyle w:val="Hyperlink"/>
            <w:rFonts w:ascii="Arial" w:hAnsi="Arial" w:cs="Arial"/>
            <w:sz w:val="20"/>
            <w:szCs w:val="20"/>
          </w:rPr>
          <w:t>circular DOR.CAP.51/21.06.201/2020-21 dated March 30, 2021</w:t>
        </w:r>
      </w:hyperlink>
      <w:r>
        <w:rPr>
          <w:rFonts w:ascii="Arial" w:hAnsi="Arial" w:cs="Arial"/>
          <w:color w:val="000000"/>
          <w:sz w:val="20"/>
          <w:szCs w:val="20"/>
        </w:rPr>
        <w:t> and </w:t>
      </w:r>
      <w:hyperlink r:id="rId66" w:tgtFrame="_blank" w:history="1">
        <w:r>
          <w:rPr>
            <w:rStyle w:val="Hyperlink"/>
            <w:rFonts w:ascii="Arial" w:hAnsi="Arial" w:cs="Arial"/>
            <w:sz w:val="20"/>
            <w:szCs w:val="20"/>
          </w:rPr>
          <w:t>circular DOR.CAP.REC.No.97/21.06.201/2021-22 dated March 31, 2022</w:t>
        </w:r>
      </w:hyperlink>
      <w:r>
        <w:rPr>
          <w:rFonts w:ascii="Arial" w:hAnsi="Arial" w:cs="Arial"/>
          <w:color w:val="000000"/>
          <w:sz w:val="20"/>
          <w:szCs w:val="20"/>
        </w:rPr>
        <w:t> on the captioned subject.</w:t>
      </w:r>
    </w:p>
    <w:p w:rsidR="0001090D" w:rsidRDefault="0001090D" w:rsidP="0001090D">
      <w:pPr>
        <w:pStyle w:val="NormalWeb"/>
        <w:jc w:val="both"/>
        <w:rPr>
          <w:rFonts w:ascii="Arial" w:hAnsi="Arial" w:cs="Arial"/>
          <w:color w:val="000000"/>
          <w:sz w:val="20"/>
          <w:szCs w:val="20"/>
        </w:rPr>
      </w:pPr>
      <w:r>
        <w:rPr>
          <w:rFonts w:ascii="Arial" w:hAnsi="Arial" w:cs="Arial"/>
          <w:color w:val="000000"/>
          <w:sz w:val="20"/>
          <w:szCs w:val="20"/>
        </w:rPr>
        <w:t>2. At present, while computing capital requirements for counterparty credit risk, the following exposures, wherever allowed to be undertaken, are exempted or capped:</w:t>
      </w:r>
    </w:p>
    <w:p w:rsidR="0001090D" w:rsidRDefault="0001090D" w:rsidP="00DA1141">
      <w:pPr>
        <w:pStyle w:val="NormalWeb"/>
        <w:numPr>
          <w:ilvl w:val="0"/>
          <w:numId w:val="8"/>
        </w:numPr>
        <w:ind w:left="0"/>
        <w:jc w:val="both"/>
        <w:rPr>
          <w:rFonts w:ascii="Arial" w:hAnsi="Arial" w:cs="Arial"/>
          <w:color w:val="000000"/>
          <w:sz w:val="20"/>
          <w:szCs w:val="20"/>
        </w:rPr>
      </w:pPr>
      <w:r>
        <w:rPr>
          <w:rFonts w:ascii="Arial" w:hAnsi="Arial" w:cs="Arial"/>
          <w:color w:val="000000"/>
          <w:sz w:val="20"/>
          <w:szCs w:val="20"/>
        </w:rPr>
        <w:t>foreign exchange (except gold) contracts which have an original maturity of 14 calendar days or less are excluded from capital requirements for counterparty credit risk.</w:t>
      </w:r>
    </w:p>
    <w:p w:rsidR="0001090D" w:rsidRDefault="0001090D" w:rsidP="00DA1141">
      <w:pPr>
        <w:pStyle w:val="NormalWeb"/>
        <w:numPr>
          <w:ilvl w:val="0"/>
          <w:numId w:val="8"/>
        </w:numPr>
        <w:ind w:left="0"/>
        <w:jc w:val="both"/>
        <w:rPr>
          <w:rFonts w:ascii="Arial" w:hAnsi="Arial" w:cs="Arial"/>
          <w:color w:val="000000"/>
          <w:sz w:val="20"/>
          <w:szCs w:val="20"/>
        </w:rPr>
      </w:pPr>
      <w:r>
        <w:rPr>
          <w:rFonts w:ascii="Arial" w:hAnsi="Arial" w:cs="Arial"/>
          <w:color w:val="000000"/>
          <w:sz w:val="20"/>
          <w:szCs w:val="20"/>
        </w:rPr>
        <w:t>‘sold options’, provided the entire premium / fee or any other form of income is received / realised, are excluded from capital requirements for counterparty credit risk.</w:t>
      </w:r>
    </w:p>
    <w:p w:rsidR="0001090D" w:rsidRDefault="0001090D" w:rsidP="00DA1141">
      <w:pPr>
        <w:pStyle w:val="NormalWeb"/>
        <w:numPr>
          <w:ilvl w:val="0"/>
          <w:numId w:val="8"/>
        </w:numPr>
        <w:ind w:left="0"/>
        <w:jc w:val="both"/>
        <w:rPr>
          <w:rFonts w:ascii="Arial" w:hAnsi="Arial" w:cs="Arial"/>
          <w:color w:val="000000"/>
          <w:sz w:val="20"/>
          <w:szCs w:val="20"/>
        </w:rPr>
      </w:pPr>
      <w:r>
        <w:rPr>
          <w:rFonts w:ascii="Arial" w:hAnsi="Arial" w:cs="Arial"/>
          <w:color w:val="000000"/>
          <w:sz w:val="20"/>
          <w:szCs w:val="20"/>
        </w:rPr>
        <w:t>For Credit Default Swap transaction where bank is protection seller, the exposure is capped at the amount of premium unpaid by the protection buyer.</w:t>
      </w:r>
    </w:p>
    <w:p w:rsidR="0001090D" w:rsidRDefault="0001090D" w:rsidP="0001090D">
      <w:pPr>
        <w:pStyle w:val="NormalWeb"/>
        <w:jc w:val="both"/>
        <w:rPr>
          <w:rFonts w:ascii="Arial" w:hAnsi="Arial" w:cs="Arial"/>
          <w:color w:val="000000"/>
          <w:sz w:val="20"/>
          <w:szCs w:val="20"/>
        </w:rPr>
      </w:pPr>
      <w:r>
        <w:rPr>
          <w:rFonts w:ascii="Arial" w:hAnsi="Arial" w:cs="Arial"/>
          <w:color w:val="000000"/>
          <w:sz w:val="20"/>
          <w:szCs w:val="20"/>
        </w:rPr>
        <w:t>3. We have received queries from regulated entities (REs) regarding the applicability of the above exemptions / caps under the Bilateral Netting framework. In this connection, it is clarified that:</w:t>
      </w:r>
    </w:p>
    <w:p w:rsidR="0001090D" w:rsidRDefault="0001090D" w:rsidP="00DA1141">
      <w:pPr>
        <w:pStyle w:val="NormalWeb"/>
        <w:numPr>
          <w:ilvl w:val="0"/>
          <w:numId w:val="9"/>
        </w:numPr>
        <w:ind w:left="0"/>
        <w:jc w:val="both"/>
        <w:rPr>
          <w:rFonts w:ascii="Arial" w:hAnsi="Arial" w:cs="Arial"/>
          <w:color w:val="000000"/>
          <w:sz w:val="20"/>
          <w:szCs w:val="20"/>
        </w:rPr>
      </w:pPr>
      <w:r>
        <w:rPr>
          <w:rFonts w:ascii="Arial" w:hAnsi="Arial" w:cs="Arial"/>
          <w:color w:val="000000"/>
          <w:sz w:val="20"/>
          <w:szCs w:val="20"/>
        </w:rPr>
        <w:t>the exemption for foreign exchange (except gold) contracts which have an original maturity of 14 calendar days or less shall be applicable to entities calculating the counterparty credit risk under Original Exposure Method without taking the benefit of bilateral netting. Accordingly, the exemption would be applicable only to Regional Rural Banks, Local Area Banks and Co-operative Banks, where the bank has not adopted the bilateral netting framework. For other entities, the exemption shall stand withdrawn.</w:t>
      </w:r>
    </w:p>
    <w:p w:rsidR="0001090D" w:rsidRDefault="0001090D" w:rsidP="00DA1141">
      <w:pPr>
        <w:pStyle w:val="NormalWeb"/>
        <w:numPr>
          <w:ilvl w:val="0"/>
          <w:numId w:val="9"/>
        </w:numPr>
        <w:ind w:left="0"/>
        <w:jc w:val="both"/>
        <w:rPr>
          <w:rFonts w:ascii="Arial" w:hAnsi="Arial" w:cs="Arial"/>
          <w:color w:val="000000"/>
          <w:sz w:val="20"/>
          <w:szCs w:val="20"/>
        </w:rPr>
      </w:pPr>
      <w:r>
        <w:rPr>
          <w:rFonts w:ascii="Arial" w:hAnsi="Arial" w:cs="Arial"/>
          <w:color w:val="000000"/>
          <w:sz w:val="20"/>
          <w:szCs w:val="20"/>
        </w:rPr>
        <w:t>‘sold options’, provided the entire premium / fee or any other form of income is received / realised, can be excluded only when such ‘sold options’ are outside the netting and margin agreements.</w:t>
      </w:r>
    </w:p>
    <w:p w:rsidR="0001090D" w:rsidRDefault="0001090D" w:rsidP="00DA1141">
      <w:pPr>
        <w:pStyle w:val="NormalWeb"/>
        <w:numPr>
          <w:ilvl w:val="0"/>
          <w:numId w:val="9"/>
        </w:numPr>
        <w:ind w:left="0"/>
        <w:jc w:val="both"/>
        <w:rPr>
          <w:rFonts w:ascii="Arial" w:hAnsi="Arial" w:cs="Arial"/>
          <w:color w:val="000000"/>
          <w:sz w:val="20"/>
          <w:szCs w:val="20"/>
        </w:rPr>
      </w:pPr>
      <w:r>
        <w:rPr>
          <w:rFonts w:ascii="Arial" w:hAnsi="Arial" w:cs="Arial"/>
          <w:color w:val="000000"/>
          <w:sz w:val="20"/>
          <w:szCs w:val="20"/>
        </w:rPr>
        <w:t>For Credit Default Swaps where the bank is the protection seller and that are outside netting and margin agreements, the exposure may be capped to the amount of premium unpaid. Banks have the option to remove such credit derivatives from their legal netting sets in order to apply the cap.</w:t>
      </w:r>
    </w:p>
    <w:p w:rsidR="0001090D" w:rsidRDefault="0001090D" w:rsidP="0001090D">
      <w:pPr>
        <w:pStyle w:val="NormalWeb"/>
        <w:rPr>
          <w:rFonts w:ascii="Arial" w:hAnsi="Arial" w:cs="Arial"/>
          <w:color w:val="000000"/>
          <w:sz w:val="20"/>
          <w:szCs w:val="20"/>
        </w:rPr>
      </w:pPr>
      <w:r>
        <w:rPr>
          <w:rFonts w:ascii="Arial" w:hAnsi="Arial" w:cs="Arial"/>
          <w:color w:val="000000"/>
          <w:sz w:val="20"/>
          <w:szCs w:val="20"/>
        </w:rPr>
        <w:t>Yours faithfully,</w:t>
      </w:r>
      <w:r>
        <w:rPr>
          <w:rFonts w:ascii="Arial" w:hAnsi="Arial" w:cs="Arial"/>
          <w:color w:val="000000"/>
          <w:sz w:val="20"/>
          <w:szCs w:val="20"/>
        </w:rPr>
        <w:br/>
        <w:t>(</w:t>
      </w:r>
      <w:proofErr w:type="spellStart"/>
      <w:r>
        <w:rPr>
          <w:rFonts w:ascii="Arial" w:hAnsi="Arial" w:cs="Arial"/>
          <w:color w:val="000000"/>
          <w:sz w:val="20"/>
          <w:szCs w:val="20"/>
        </w:rPr>
        <w:t>Usha</w:t>
      </w:r>
      <w:proofErr w:type="spellEnd"/>
      <w:r>
        <w:rPr>
          <w:rFonts w:ascii="Arial" w:hAnsi="Arial" w:cs="Arial"/>
          <w:color w:val="000000"/>
          <w:sz w:val="20"/>
          <w:szCs w:val="20"/>
        </w:rPr>
        <w:t xml:space="preserve"> </w:t>
      </w:r>
      <w:proofErr w:type="spellStart"/>
      <w:r>
        <w:rPr>
          <w:rFonts w:ascii="Arial" w:hAnsi="Arial" w:cs="Arial"/>
          <w:color w:val="000000"/>
          <w:sz w:val="20"/>
          <w:szCs w:val="20"/>
        </w:rPr>
        <w:t>Janakiraman</w:t>
      </w:r>
      <w:proofErr w:type="spellEnd"/>
      <w:r>
        <w:rPr>
          <w:rFonts w:ascii="Arial" w:hAnsi="Arial" w:cs="Arial"/>
          <w:color w:val="000000"/>
          <w:sz w:val="20"/>
          <w:szCs w:val="20"/>
        </w:rPr>
        <w:t>)</w:t>
      </w:r>
      <w:r>
        <w:rPr>
          <w:rFonts w:ascii="Arial" w:hAnsi="Arial" w:cs="Arial"/>
          <w:color w:val="000000"/>
          <w:sz w:val="20"/>
          <w:szCs w:val="20"/>
        </w:rPr>
        <w:br/>
        <w:t>Chief General Manager</w:t>
      </w:r>
    </w:p>
    <w:p w:rsidR="0001090D" w:rsidRDefault="0001090D" w:rsidP="0001090D">
      <w:pPr>
        <w:rPr>
          <w:rFonts w:ascii="Arial" w:hAnsi="Arial" w:cs="Arial"/>
          <w:sz w:val="20"/>
          <w:szCs w:val="20"/>
        </w:rPr>
      </w:pPr>
    </w:p>
    <w:p w:rsidR="0001090D" w:rsidRDefault="0001090D" w:rsidP="0001090D">
      <w:pPr>
        <w:rPr>
          <w:rFonts w:ascii="Arial" w:hAnsi="Arial" w:cs="Arial"/>
          <w:sz w:val="20"/>
          <w:szCs w:val="20"/>
        </w:rPr>
      </w:pPr>
    </w:p>
    <w:p w:rsidR="0001090D" w:rsidRDefault="0001090D" w:rsidP="0001090D">
      <w:pPr>
        <w:rPr>
          <w:rFonts w:ascii="Arial" w:hAnsi="Arial" w:cs="Arial"/>
          <w:sz w:val="20"/>
          <w:szCs w:val="20"/>
        </w:rPr>
      </w:pPr>
    </w:p>
    <w:p w:rsidR="0001090D" w:rsidRDefault="0001090D" w:rsidP="0001090D">
      <w:pPr>
        <w:rPr>
          <w:rFonts w:ascii="Arial" w:hAnsi="Arial" w:cs="Arial"/>
          <w:sz w:val="20"/>
          <w:szCs w:val="20"/>
        </w:rPr>
      </w:pPr>
    </w:p>
    <w:p w:rsidR="0001090D" w:rsidRDefault="0001090D" w:rsidP="0001090D">
      <w:pPr>
        <w:rPr>
          <w:rFonts w:ascii="Arial" w:hAnsi="Arial" w:cs="Arial"/>
          <w:sz w:val="20"/>
          <w:szCs w:val="20"/>
        </w:rPr>
      </w:pPr>
    </w:p>
    <w:p w:rsidR="0001090D" w:rsidRDefault="0001090D" w:rsidP="0001090D">
      <w:r>
        <w:t>More details can be referred to in the below link.</w:t>
      </w:r>
    </w:p>
    <w:p w:rsidR="0001090D" w:rsidRDefault="0001090D" w:rsidP="0001090D">
      <w:pPr>
        <w:rPr>
          <w:rFonts w:ascii="Arial" w:hAnsi="Arial" w:cs="Arial"/>
          <w:bCs/>
          <w:color w:val="000000"/>
          <w:sz w:val="20"/>
          <w:szCs w:val="20"/>
        </w:rPr>
      </w:pPr>
      <w:r>
        <w:rPr>
          <w:rFonts w:ascii="Arial" w:hAnsi="Arial" w:cs="Arial"/>
          <w:bCs/>
          <w:color w:val="000000"/>
          <w:sz w:val="20"/>
          <w:szCs w:val="20"/>
        </w:rPr>
        <w:t xml:space="preserve">Reference Link: </w:t>
      </w:r>
      <w:hyperlink r:id="rId67" w:history="1">
        <w:r w:rsidRPr="00735218">
          <w:rPr>
            <w:rStyle w:val="Hyperlink"/>
            <w:rFonts w:ascii="Arial" w:hAnsi="Arial" w:cs="Arial"/>
            <w:bCs/>
            <w:sz w:val="20"/>
            <w:szCs w:val="20"/>
          </w:rPr>
          <w:t>https://www.rbi.org.in/Scripts/NotificationUser.aspx?Id=12376&amp;Mode=0</w:t>
        </w:r>
      </w:hyperlink>
    </w:p>
    <w:p w:rsidR="0001090D" w:rsidRDefault="0001090D" w:rsidP="0001090D">
      <w:pPr>
        <w:rPr>
          <w:rFonts w:ascii="Arial" w:hAnsi="Arial" w:cs="Arial"/>
          <w:sz w:val="20"/>
          <w:szCs w:val="20"/>
        </w:rPr>
      </w:pPr>
    </w:p>
    <w:p w:rsidR="0001090D" w:rsidRDefault="0001090D" w:rsidP="0001090D">
      <w:pPr>
        <w:rPr>
          <w:rFonts w:ascii="Arial" w:hAnsi="Arial" w:cs="Arial"/>
          <w:b/>
          <w:bCs/>
          <w:color w:val="000000"/>
          <w:sz w:val="20"/>
          <w:szCs w:val="20"/>
        </w:rPr>
      </w:pPr>
      <w:r>
        <w:rPr>
          <w:rFonts w:ascii="Arial" w:hAnsi="Arial" w:cs="Arial"/>
          <w:b/>
          <w:bCs/>
          <w:color w:val="000000"/>
          <w:sz w:val="20"/>
          <w:szCs w:val="20"/>
        </w:rPr>
        <w:t>Outsourcing of Financial Services - Responsibilities of regulated entities employing Recovery Agents</w:t>
      </w:r>
    </w:p>
    <w:p w:rsidR="0001090D" w:rsidRDefault="0001090D" w:rsidP="0001090D">
      <w:pPr>
        <w:pStyle w:val="NormalWeb"/>
        <w:jc w:val="both"/>
        <w:rPr>
          <w:rFonts w:ascii="Arial" w:hAnsi="Arial" w:cs="Arial"/>
          <w:color w:val="000000"/>
          <w:sz w:val="20"/>
          <w:szCs w:val="20"/>
        </w:rPr>
      </w:pPr>
      <w:r>
        <w:rPr>
          <w:rFonts w:ascii="Arial" w:hAnsi="Arial" w:cs="Arial"/>
          <w:color w:val="000000"/>
          <w:sz w:val="20"/>
          <w:szCs w:val="20"/>
        </w:rPr>
        <w:t>RBI/2022-23/108</w:t>
      </w:r>
      <w:r>
        <w:rPr>
          <w:rFonts w:ascii="Arial" w:hAnsi="Arial" w:cs="Arial"/>
          <w:color w:val="000000"/>
          <w:sz w:val="20"/>
          <w:szCs w:val="20"/>
        </w:rPr>
        <w:br/>
        <w:t>DOR.ORG.REC.65/21.04.158/2022-23</w:t>
      </w:r>
    </w:p>
    <w:p w:rsidR="0001090D" w:rsidRDefault="0001090D" w:rsidP="0001090D">
      <w:pPr>
        <w:pStyle w:val="NormalWeb"/>
        <w:jc w:val="right"/>
        <w:rPr>
          <w:rFonts w:ascii="Arial" w:hAnsi="Arial" w:cs="Arial"/>
          <w:color w:val="000000"/>
          <w:sz w:val="20"/>
          <w:szCs w:val="20"/>
        </w:rPr>
      </w:pPr>
      <w:r>
        <w:rPr>
          <w:rFonts w:ascii="Arial" w:hAnsi="Arial" w:cs="Arial"/>
          <w:color w:val="000000"/>
          <w:sz w:val="20"/>
          <w:szCs w:val="20"/>
        </w:rPr>
        <w:t>August 12, 2022</w:t>
      </w:r>
    </w:p>
    <w:p w:rsidR="0001090D" w:rsidRDefault="0001090D" w:rsidP="0001090D">
      <w:pPr>
        <w:pStyle w:val="NormalWeb"/>
        <w:jc w:val="both"/>
        <w:rPr>
          <w:rFonts w:ascii="Arial" w:hAnsi="Arial" w:cs="Arial"/>
          <w:color w:val="000000"/>
          <w:sz w:val="20"/>
          <w:szCs w:val="20"/>
        </w:rPr>
      </w:pPr>
      <w:r>
        <w:rPr>
          <w:rFonts w:ascii="Arial" w:hAnsi="Arial" w:cs="Arial"/>
          <w:color w:val="000000"/>
          <w:sz w:val="20"/>
          <w:szCs w:val="20"/>
        </w:rPr>
        <w:t>Madam/ Sir,</w:t>
      </w:r>
    </w:p>
    <w:p w:rsidR="0001090D" w:rsidRDefault="0001090D" w:rsidP="0001090D">
      <w:pPr>
        <w:pStyle w:val="head"/>
        <w:rPr>
          <w:rFonts w:ascii="Arial" w:hAnsi="Arial" w:cs="Arial"/>
          <w:b/>
          <w:bCs/>
          <w:color w:val="000000"/>
          <w:sz w:val="20"/>
          <w:szCs w:val="20"/>
        </w:rPr>
      </w:pPr>
      <w:r>
        <w:rPr>
          <w:rFonts w:ascii="Arial" w:hAnsi="Arial" w:cs="Arial"/>
          <w:b/>
          <w:bCs/>
          <w:color w:val="000000"/>
          <w:sz w:val="20"/>
          <w:szCs w:val="20"/>
        </w:rPr>
        <w:t>Outsourcing of Financial Services - Responsibilities of regulated entities employing Recovery Agents</w:t>
      </w:r>
    </w:p>
    <w:p w:rsidR="0001090D" w:rsidRDefault="0001090D" w:rsidP="0001090D">
      <w:pPr>
        <w:pStyle w:val="NormalWeb"/>
        <w:rPr>
          <w:rFonts w:ascii="Arial" w:hAnsi="Arial" w:cs="Arial"/>
          <w:color w:val="000000"/>
          <w:sz w:val="20"/>
          <w:szCs w:val="20"/>
        </w:rPr>
      </w:pPr>
      <w:r>
        <w:rPr>
          <w:rFonts w:ascii="Arial" w:hAnsi="Arial" w:cs="Arial"/>
          <w:color w:val="000000"/>
          <w:sz w:val="20"/>
          <w:szCs w:val="20"/>
        </w:rPr>
        <w:t>The Reserve Bank of India has from time to time advised regulated entities (REs) that the ultimate responsibility for their outsourced activities vests with them and they are, therefore, responsible for the actions of their service providers including Recovery Agents (hereafter referred to as ‘agents’).</w:t>
      </w:r>
    </w:p>
    <w:p w:rsidR="0001090D" w:rsidRDefault="0001090D" w:rsidP="0001090D">
      <w:pPr>
        <w:pStyle w:val="NormalWeb"/>
        <w:rPr>
          <w:rFonts w:ascii="Arial" w:hAnsi="Arial" w:cs="Arial"/>
          <w:color w:val="000000"/>
          <w:sz w:val="20"/>
          <w:szCs w:val="20"/>
        </w:rPr>
      </w:pPr>
      <w:r>
        <w:rPr>
          <w:rFonts w:ascii="Arial" w:hAnsi="Arial" w:cs="Arial"/>
          <w:color w:val="000000"/>
          <w:sz w:val="20"/>
          <w:szCs w:val="20"/>
        </w:rPr>
        <w:t>2. It has been observed that the agents employed by REs have been deviating from the extant instructions governing the outsourcing of financial services. In view of concerns arising from the activities of these agents, it is advised that the REs shall strictly ensure that they or their agents do not resort to intimidation or harassment of any kind, either verbal or physical, against any person in their debt collection efforts, including acts intended to humiliate publicly or intrude upon the privacy of the debtors' family members, referees and friends, sending inappropriate messages either on mobile or through social media, making threatening and/ or anonymous calls, persistently</w:t>
      </w:r>
      <w:hyperlink r:id="rId68" w:anchor="F1" w:history="1">
        <w:r>
          <w:rPr>
            <w:rStyle w:val="Hyperlink"/>
            <w:rFonts w:ascii="Arial" w:hAnsi="Arial" w:cs="Arial"/>
            <w:sz w:val="15"/>
            <w:szCs w:val="15"/>
            <w:vertAlign w:val="superscript"/>
          </w:rPr>
          <w:t>1</w:t>
        </w:r>
      </w:hyperlink>
      <w:r>
        <w:rPr>
          <w:rFonts w:ascii="Arial" w:hAnsi="Arial" w:cs="Arial"/>
          <w:color w:val="000000"/>
          <w:sz w:val="20"/>
          <w:szCs w:val="20"/>
        </w:rPr>
        <w:t> calling the borrower and/ or calling the borrower before 8:00 a.m. and after 7:00 p.m. for recovery of overdue loans, making false and misleading representations, etc.</w:t>
      </w:r>
    </w:p>
    <w:p w:rsidR="0001090D" w:rsidRDefault="0001090D" w:rsidP="0001090D">
      <w:pPr>
        <w:pStyle w:val="NormalWeb"/>
        <w:rPr>
          <w:rFonts w:ascii="Arial" w:hAnsi="Arial" w:cs="Arial"/>
          <w:color w:val="000000"/>
          <w:sz w:val="20"/>
          <w:szCs w:val="20"/>
        </w:rPr>
      </w:pPr>
      <w:r>
        <w:rPr>
          <w:rFonts w:ascii="Arial" w:hAnsi="Arial" w:cs="Arial"/>
          <w:color w:val="000000"/>
          <w:sz w:val="20"/>
          <w:szCs w:val="20"/>
        </w:rPr>
        <w:t>3. The instructions contained in para 2 above shall supplement and be read in conjunction with the existing guidelines/directions issued by the Reserve Bank of India, as amended from time to time, including those tabulated in </w:t>
      </w:r>
      <w:hyperlink r:id="rId69" w:anchor="AN" w:history="1">
        <w:r>
          <w:rPr>
            <w:rStyle w:val="Hyperlink"/>
            <w:rFonts w:ascii="Arial" w:hAnsi="Arial" w:cs="Arial"/>
            <w:sz w:val="20"/>
            <w:szCs w:val="20"/>
          </w:rPr>
          <w:t>Annex</w:t>
        </w:r>
      </w:hyperlink>
      <w:r>
        <w:rPr>
          <w:rFonts w:ascii="Arial" w:hAnsi="Arial" w:cs="Arial"/>
          <w:color w:val="000000"/>
          <w:sz w:val="20"/>
          <w:szCs w:val="20"/>
        </w:rPr>
        <w:t>.</w:t>
      </w:r>
    </w:p>
    <w:p w:rsidR="0001090D" w:rsidRDefault="0001090D" w:rsidP="0001090D">
      <w:pPr>
        <w:pStyle w:val="NormalWeb"/>
        <w:rPr>
          <w:rFonts w:ascii="Arial" w:hAnsi="Arial" w:cs="Arial"/>
          <w:color w:val="000000"/>
          <w:sz w:val="20"/>
          <w:szCs w:val="20"/>
        </w:rPr>
      </w:pPr>
      <w:r>
        <w:rPr>
          <w:rFonts w:ascii="Arial" w:hAnsi="Arial" w:cs="Arial"/>
          <w:color w:val="000000"/>
          <w:sz w:val="20"/>
          <w:szCs w:val="20"/>
        </w:rPr>
        <w:t>4. Any violation in this regard by REs will be viewed seriously.</w:t>
      </w:r>
    </w:p>
    <w:p w:rsidR="0001090D" w:rsidRDefault="0001090D" w:rsidP="0001090D">
      <w:pPr>
        <w:pStyle w:val="head"/>
        <w:rPr>
          <w:rFonts w:ascii="Arial" w:hAnsi="Arial" w:cs="Arial"/>
          <w:b/>
          <w:bCs/>
          <w:color w:val="000000"/>
          <w:sz w:val="20"/>
          <w:szCs w:val="20"/>
        </w:rPr>
      </w:pPr>
      <w:r>
        <w:rPr>
          <w:rFonts w:ascii="Arial" w:hAnsi="Arial" w:cs="Arial"/>
          <w:b/>
          <w:bCs/>
          <w:color w:val="000000"/>
          <w:sz w:val="20"/>
          <w:szCs w:val="20"/>
        </w:rPr>
        <w:t>Applicability</w:t>
      </w:r>
    </w:p>
    <w:p w:rsidR="0001090D" w:rsidRDefault="0001090D" w:rsidP="0001090D">
      <w:pPr>
        <w:pStyle w:val="NormalWeb"/>
        <w:spacing w:before="0" w:beforeAutospacing="0" w:after="0" w:afterAutospacing="0"/>
        <w:rPr>
          <w:rFonts w:ascii="Arial" w:hAnsi="Arial" w:cs="Arial"/>
          <w:color w:val="000000"/>
          <w:sz w:val="20"/>
          <w:szCs w:val="20"/>
        </w:rPr>
      </w:pPr>
      <w:r>
        <w:rPr>
          <w:rFonts w:ascii="Arial" w:hAnsi="Arial" w:cs="Arial"/>
          <w:color w:val="000000"/>
          <w:sz w:val="20"/>
          <w:szCs w:val="20"/>
        </w:rPr>
        <w:t>5. This circular shall apply to the following REs:</w:t>
      </w:r>
    </w:p>
    <w:p w:rsidR="0001090D" w:rsidRDefault="0001090D" w:rsidP="00DA1141">
      <w:pPr>
        <w:pStyle w:val="NormalWeb"/>
        <w:numPr>
          <w:ilvl w:val="0"/>
          <w:numId w:val="10"/>
        </w:numPr>
        <w:spacing w:before="0" w:beforeAutospacing="0"/>
        <w:ind w:left="0"/>
        <w:rPr>
          <w:rFonts w:ascii="Arial" w:hAnsi="Arial" w:cs="Arial"/>
          <w:color w:val="000000"/>
          <w:sz w:val="20"/>
          <w:szCs w:val="20"/>
        </w:rPr>
      </w:pPr>
      <w:r>
        <w:rPr>
          <w:rFonts w:ascii="Arial" w:hAnsi="Arial" w:cs="Arial"/>
          <w:color w:val="000000"/>
          <w:sz w:val="20"/>
          <w:szCs w:val="20"/>
        </w:rPr>
        <w:t>All Commercial Banks (including Local Area Banks, Regional Rural Banks, and Small Finance Banks) excluding Payments Banks;</w:t>
      </w:r>
    </w:p>
    <w:p w:rsidR="0001090D" w:rsidRDefault="0001090D" w:rsidP="00DA1141">
      <w:pPr>
        <w:pStyle w:val="NormalWeb"/>
        <w:numPr>
          <w:ilvl w:val="0"/>
          <w:numId w:val="10"/>
        </w:numPr>
        <w:ind w:left="0"/>
        <w:rPr>
          <w:rFonts w:ascii="Arial" w:hAnsi="Arial" w:cs="Arial"/>
          <w:color w:val="000000"/>
          <w:sz w:val="20"/>
          <w:szCs w:val="20"/>
        </w:rPr>
      </w:pPr>
      <w:r>
        <w:rPr>
          <w:rFonts w:ascii="Arial" w:hAnsi="Arial" w:cs="Arial"/>
          <w:color w:val="000000"/>
          <w:sz w:val="20"/>
          <w:szCs w:val="20"/>
        </w:rPr>
        <w:t xml:space="preserve">All All-India Financial Institutions (viz. Exim Bank, NABARD, NHB, SIDBI, and </w:t>
      </w:r>
      <w:proofErr w:type="spellStart"/>
      <w:r>
        <w:rPr>
          <w:rFonts w:ascii="Arial" w:hAnsi="Arial" w:cs="Arial"/>
          <w:color w:val="000000"/>
          <w:sz w:val="20"/>
          <w:szCs w:val="20"/>
        </w:rPr>
        <w:t>NaBFID</w:t>
      </w:r>
      <w:proofErr w:type="spellEnd"/>
      <w:r>
        <w:rPr>
          <w:rFonts w:ascii="Arial" w:hAnsi="Arial" w:cs="Arial"/>
          <w:color w:val="000000"/>
          <w:sz w:val="20"/>
          <w:szCs w:val="20"/>
        </w:rPr>
        <w:t>);</w:t>
      </w:r>
    </w:p>
    <w:p w:rsidR="0001090D" w:rsidRDefault="0001090D" w:rsidP="00DA1141">
      <w:pPr>
        <w:pStyle w:val="NormalWeb"/>
        <w:numPr>
          <w:ilvl w:val="0"/>
          <w:numId w:val="10"/>
        </w:numPr>
        <w:ind w:left="0"/>
        <w:rPr>
          <w:rFonts w:ascii="Arial" w:hAnsi="Arial" w:cs="Arial"/>
          <w:color w:val="000000"/>
          <w:sz w:val="20"/>
          <w:szCs w:val="20"/>
        </w:rPr>
      </w:pPr>
      <w:r>
        <w:rPr>
          <w:rFonts w:ascii="Arial" w:hAnsi="Arial" w:cs="Arial"/>
          <w:color w:val="000000"/>
          <w:sz w:val="20"/>
          <w:szCs w:val="20"/>
        </w:rPr>
        <w:t>All Non-Banking Financial Companies including Housing Finance Companies;</w:t>
      </w:r>
    </w:p>
    <w:p w:rsidR="0001090D" w:rsidRDefault="0001090D" w:rsidP="00DA1141">
      <w:pPr>
        <w:pStyle w:val="NormalWeb"/>
        <w:numPr>
          <w:ilvl w:val="0"/>
          <w:numId w:val="10"/>
        </w:numPr>
        <w:ind w:left="0"/>
        <w:rPr>
          <w:rFonts w:ascii="Arial" w:hAnsi="Arial" w:cs="Arial"/>
          <w:color w:val="000000"/>
          <w:sz w:val="20"/>
          <w:szCs w:val="20"/>
        </w:rPr>
      </w:pPr>
      <w:r>
        <w:rPr>
          <w:rFonts w:ascii="Arial" w:hAnsi="Arial" w:cs="Arial"/>
          <w:color w:val="000000"/>
          <w:sz w:val="20"/>
          <w:szCs w:val="20"/>
        </w:rPr>
        <w:t>All Primary (Urban) Co-operative Banks, State Co-operative Banks, and District Central Co-operative Banks; and</w:t>
      </w:r>
    </w:p>
    <w:p w:rsidR="0001090D" w:rsidRDefault="0001090D" w:rsidP="00DA1141">
      <w:pPr>
        <w:pStyle w:val="NormalWeb"/>
        <w:numPr>
          <w:ilvl w:val="0"/>
          <w:numId w:val="10"/>
        </w:numPr>
        <w:ind w:left="0"/>
        <w:rPr>
          <w:rFonts w:ascii="Arial" w:hAnsi="Arial" w:cs="Arial"/>
          <w:color w:val="000000"/>
          <w:sz w:val="20"/>
          <w:szCs w:val="20"/>
        </w:rPr>
      </w:pPr>
      <w:r>
        <w:rPr>
          <w:rFonts w:ascii="Arial" w:hAnsi="Arial" w:cs="Arial"/>
          <w:color w:val="000000"/>
          <w:sz w:val="20"/>
          <w:szCs w:val="20"/>
        </w:rPr>
        <w:t>All Asset Reconstruction Companies.</w:t>
      </w:r>
    </w:p>
    <w:p w:rsidR="0001090D" w:rsidRDefault="0001090D" w:rsidP="0001090D">
      <w:pPr>
        <w:pStyle w:val="NormalWeb"/>
        <w:rPr>
          <w:rFonts w:ascii="Arial" w:hAnsi="Arial" w:cs="Arial"/>
          <w:color w:val="000000"/>
          <w:sz w:val="20"/>
          <w:szCs w:val="20"/>
        </w:rPr>
      </w:pPr>
      <w:r>
        <w:rPr>
          <w:rFonts w:ascii="Arial" w:hAnsi="Arial" w:cs="Arial"/>
          <w:color w:val="000000"/>
          <w:sz w:val="20"/>
          <w:szCs w:val="20"/>
        </w:rPr>
        <w:t>6. This circular shall not apply to microfinance loans covered under </w:t>
      </w:r>
      <w:hyperlink r:id="rId70" w:tgtFrame="_blank" w:history="1">
        <w:r>
          <w:rPr>
            <w:rStyle w:val="Hyperlink"/>
            <w:rFonts w:ascii="Arial" w:hAnsi="Arial" w:cs="Arial"/>
            <w:sz w:val="20"/>
            <w:szCs w:val="20"/>
          </w:rPr>
          <w:t>‘Master Direction – Reserve Bank of India (Regulatory Framework for Microfinance Loans) Directions, 2022’, dated March 14, 2022</w:t>
        </w:r>
      </w:hyperlink>
      <w:r>
        <w:rPr>
          <w:rFonts w:ascii="Arial" w:hAnsi="Arial" w:cs="Arial"/>
          <w:color w:val="000000"/>
          <w:sz w:val="20"/>
          <w:szCs w:val="20"/>
        </w:rPr>
        <w:t>.</w:t>
      </w:r>
    </w:p>
    <w:p w:rsidR="0001090D" w:rsidRDefault="0001090D" w:rsidP="0001090D">
      <w:pPr>
        <w:pStyle w:val="NormalWeb"/>
        <w:spacing w:after="0" w:afterAutospacing="0"/>
        <w:rPr>
          <w:rFonts w:ascii="Arial" w:hAnsi="Arial" w:cs="Arial"/>
          <w:color w:val="000000"/>
          <w:sz w:val="20"/>
          <w:szCs w:val="20"/>
        </w:rPr>
      </w:pPr>
      <w:r>
        <w:rPr>
          <w:rFonts w:ascii="Arial" w:hAnsi="Arial" w:cs="Arial"/>
          <w:color w:val="000000"/>
          <w:sz w:val="20"/>
          <w:szCs w:val="20"/>
        </w:rPr>
        <w:t>Yours faithfully,</w:t>
      </w:r>
    </w:p>
    <w:p w:rsidR="0001090D" w:rsidRDefault="0001090D" w:rsidP="0001090D">
      <w:pPr>
        <w:pStyle w:val="NormalWeb"/>
        <w:spacing w:before="0" w:beforeAutospacing="0"/>
        <w:rPr>
          <w:rFonts w:ascii="Arial" w:hAnsi="Arial" w:cs="Arial"/>
          <w:color w:val="000000"/>
          <w:sz w:val="20"/>
          <w:szCs w:val="20"/>
        </w:rPr>
      </w:pPr>
      <w:r>
        <w:rPr>
          <w:rFonts w:ascii="Arial" w:hAnsi="Arial" w:cs="Arial"/>
          <w:color w:val="000000"/>
          <w:sz w:val="20"/>
          <w:szCs w:val="20"/>
        </w:rPr>
        <w:t>(Sunil T. S. Nair)</w:t>
      </w:r>
      <w:r>
        <w:rPr>
          <w:rFonts w:ascii="Arial" w:hAnsi="Arial" w:cs="Arial"/>
          <w:color w:val="000000"/>
          <w:sz w:val="20"/>
          <w:szCs w:val="20"/>
        </w:rPr>
        <w:br/>
        <w:t>Chief General Manager</w:t>
      </w:r>
    </w:p>
    <w:p w:rsidR="0001090D" w:rsidRDefault="0001090D" w:rsidP="0001090D">
      <w:pPr>
        <w:spacing w:before="240" w:after="0"/>
      </w:pPr>
    </w:p>
    <w:p w:rsidR="0001090D" w:rsidRDefault="0001090D" w:rsidP="0001090D">
      <w:pPr>
        <w:spacing w:after="0"/>
      </w:pPr>
      <w:r>
        <w:t>More details can be referred to in the below link.</w:t>
      </w:r>
    </w:p>
    <w:p w:rsidR="0001090D" w:rsidRDefault="0001090D" w:rsidP="0001090D">
      <w:pPr>
        <w:pStyle w:val="NormalWeb"/>
        <w:spacing w:before="0" w:beforeAutospacing="0"/>
        <w:rPr>
          <w:rFonts w:ascii="Arial" w:hAnsi="Arial" w:cs="Arial"/>
          <w:bCs/>
          <w:color w:val="000000"/>
          <w:sz w:val="20"/>
          <w:szCs w:val="20"/>
        </w:rPr>
      </w:pPr>
      <w:r>
        <w:rPr>
          <w:rFonts w:ascii="Arial" w:hAnsi="Arial" w:cs="Arial"/>
          <w:bCs/>
          <w:color w:val="000000"/>
          <w:sz w:val="20"/>
          <w:szCs w:val="20"/>
        </w:rPr>
        <w:lastRenderedPageBreak/>
        <w:t xml:space="preserve">Reference Link: </w:t>
      </w:r>
      <w:hyperlink r:id="rId71" w:anchor=":~:text=The%20Reserve%20Bank%20of%20India,to%20as%20'agents" w:history="1">
        <w:r w:rsidRPr="006865D6">
          <w:rPr>
            <w:rStyle w:val="Hyperlink"/>
            <w:rFonts w:ascii="Arial" w:hAnsi="Arial" w:cs="Arial"/>
            <w:bCs/>
            <w:sz w:val="20"/>
            <w:szCs w:val="20"/>
          </w:rPr>
          <w:t>https://rbi.org.in/scripts/FS_Notification.aspx?Id=12378&amp;fn=2&amp;Mode=0#:~:text=The%20Reserve%20Bank%20of%20India,to%20as%20'agents</w:t>
        </w:r>
      </w:hyperlink>
      <w:r w:rsidRPr="00DE6119">
        <w:rPr>
          <w:rFonts w:ascii="Arial" w:hAnsi="Arial" w:cs="Arial"/>
          <w:bCs/>
          <w:color w:val="000000"/>
          <w:sz w:val="20"/>
          <w:szCs w:val="20"/>
        </w:rPr>
        <w:t>').</w:t>
      </w:r>
    </w:p>
    <w:p w:rsidR="0001090D" w:rsidRDefault="0001090D" w:rsidP="0001090D">
      <w:pPr>
        <w:rPr>
          <w:rFonts w:ascii="Arial" w:hAnsi="Arial" w:cs="Arial"/>
          <w:b/>
          <w:bCs/>
          <w:color w:val="000000"/>
          <w:sz w:val="20"/>
          <w:szCs w:val="20"/>
        </w:rPr>
      </w:pPr>
      <w:r>
        <w:rPr>
          <w:rFonts w:ascii="Arial" w:hAnsi="Arial" w:cs="Arial"/>
          <w:b/>
          <w:bCs/>
          <w:color w:val="000000"/>
          <w:sz w:val="20"/>
          <w:szCs w:val="20"/>
        </w:rPr>
        <w:t>Foreign Exchange Management (Overseas Investment) Regulations, 2022</w:t>
      </w:r>
    </w:p>
    <w:p w:rsidR="0001090D" w:rsidRDefault="0001090D" w:rsidP="0001090D">
      <w:pPr>
        <w:pStyle w:val="head"/>
        <w:jc w:val="both"/>
        <w:rPr>
          <w:rFonts w:ascii="Arial" w:hAnsi="Arial" w:cs="Arial"/>
          <w:b/>
          <w:bCs/>
          <w:color w:val="000000"/>
          <w:sz w:val="20"/>
          <w:szCs w:val="20"/>
        </w:rPr>
      </w:pPr>
      <w:r>
        <w:rPr>
          <w:rFonts w:ascii="Arial" w:hAnsi="Arial" w:cs="Arial"/>
          <w:b/>
          <w:bCs/>
          <w:color w:val="000000"/>
          <w:sz w:val="20"/>
          <w:szCs w:val="20"/>
        </w:rPr>
        <w:t>No. FEMA 400/2022-RB</w:t>
      </w:r>
    </w:p>
    <w:p w:rsidR="0001090D" w:rsidRDefault="0001090D" w:rsidP="0001090D">
      <w:pPr>
        <w:pStyle w:val="head"/>
        <w:jc w:val="right"/>
        <w:rPr>
          <w:rFonts w:ascii="Arial" w:hAnsi="Arial" w:cs="Arial"/>
          <w:b/>
          <w:bCs/>
          <w:color w:val="000000"/>
          <w:sz w:val="20"/>
          <w:szCs w:val="20"/>
        </w:rPr>
      </w:pPr>
      <w:r>
        <w:rPr>
          <w:rFonts w:ascii="Arial" w:hAnsi="Arial" w:cs="Arial"/>
          <w:b/>
          <w:bCs/>
          <w:color w:val="000000"/>
          <w:sz w:val="20"/>
          <w:szCs w:val="20"/>
        </w:rPr>
        <w:t>August 22, 2022</w:t>
      </w:r>
    </w:p>
    <w:p w:rsidR="0001090D" w:rsidRDefault="0001090D" w:rsidP="0001090D">
      <w:pPr>
        <w:pStyle w:val="head"/>
        <w:jc w:val="center"/>
        <w:rPr>
          <w:rFonts w:ascii="Arial" w:hAnsi="Arial" w:cs="Arial"/>
          <w:b/>
          <w:bCs/>
          <w:color w:val="000000"/>
          <w:sz w:val="20"/>
          <w:szCs w:val="20"/>
        </w:rPr>
      </w:pPr>
      <w:r>
        <w:rPr>
          <w:rFonts w:ascii="Arial" w:hAnsi="Arial" w:cs="Arial"/>
          <w:b/>
          <w:bCs/>
          <w:color w:val="000000"/>
          <w:sz w:val="20"/>
          <w:szCs w:val="20"/>
        </w:rPr>
        <w:t>Foreign Exchange Management (Overseas Investment) Regulations, 2022</w:t>
      </w:r>
    </w:p>
    <w:p w:rsidR="0001090D" w:rsidRDefault="0001090D" w:rsidP="0001090D">
      <w:pPr>
        <w:pStyle w:val="NormalWeb"/>
        <w:jc w:val="both"/>
        <w:rPr>
          <w:rFonts w:ascii="Arial" w:hAnsi="Arial" w:cs="Arial"/>
          <w:color w:val="000000"/>
          <w:sz w:val="20"/>
          <w:szCs w:val="20"/>
        </w:rPr>
      </w:pPr>
      <w:r>
        <w:rPr>
          <w:rFonts w:ascii="Arial" w:hAnsi="Arial" w:cs="Arial"/>
          <w:color w:val="000000"/>
          <w:sz w:val="20"/>
          <w:szCs w:val="20"/>
        </w:rPr>
        <w:t xml:space="preserve">In exercise of the powers conferred by sub-section (1) and clause (a) of sub-section (2) of section 47 of the Foreign Exchange Management Act, 1999 (42 of 1999), the Reserve Bank hereby makes the following regulations, </w:t>
      </w:r>
      <w:proofErr w:type="gramStart"/>
      <w:r>
        <w:rPr>
          <w:rFonts w:ascii="Arial" w:hAnsi="Arial" w:cs="Arial"/>
          <w:color w:val="000000"/>
          <w:sz w:val="20"/>
          <w:szCs w:val="20"/>
        </w:rPr>
        <w:t>namely:–</w:t>
      </w:r>
      <w:proofErr w:type="gramEnd"/>
    </w:p>
    <w:p w:rsidR="0001090D" w:rsidRDefault="0001090D" w:rsidP="0001090D">
      <w:pPr>
        <w:pStyle w:val="NormalWeb"/>
        <w:jc w:val="both"/>
        <w:rPr>
          <w:rFonts w:ascii="Arial" w:hAnsi="Arial" w:cs="Arial"/>
          <w:color w:val="000000"/>
          <w:sz w:val="20"/>
          <w:szCs w:val="20"/>
        </w:rPr>
      </w:pPr>
      <w:r>
        <w:rPr>
          <w:rStyle w:val="head1"/>
          <w:rFonts w:ascii="Arial" w:hAnsi="Arial" w:cs="Arial"/>
          <w:b/>
          <w:bCs/>
          <w:color w:val="000000"/>
          <w:sz w:val="20"/>
          <w:szCs w:val="20"/>
        </w:rPr>
        <w:t xml:space="preserve">1. Short title and </w:t>
      </w:r>
      <w:proofErr w:type="gramStart"/>
      <w:r>
        <w:rPr>
          <w:rStyle w:val="head1"/>
          <w:rFonts w:ascii="Arial" w:hAnsi="Arial" w:cs="Arial"/>
          <w:b/>
          <w:bCs/>
          <w:color w:val="000000"/>
          <w:sz w:val="20"/>
          <w:szCs w:val="20"/>
        </w:rPr>
        <w:t>commencement.–</w:t>
      </w:r>
      <w:proofErr w:type="gramEnd"/>
      <w:r>
        <w:rPr>
          <w:rFonts w:ascii="Arial" w:hAnsi="Arial" w:cs="Arial"/>
          <w:color w:val="000000"/>
          <w:sz w:val="20"/>
          <w:szCs w:val="20"/>
        </w:rPr>
        <w:t> (1) These regulations may be called the Foreign Exchange Management (Overseas Investment) Regulations, 2022.</w:t>
      </w:r>
    </w:p>
    <w:p w:rsidR="0001090D" w:rsidRDefault="0001090D" w:rsidP="0001090D">
      <w:pPr>
        <w:pStyle w:val="NormalWeb"/>
        <w:jc w:val="both"/>
        <w:rPr>
          <w:rFonts w:ascii="Arial" w:hAnsi="Arial" w:cs="Arial"/>
          <w:color w:val="000000"/>
          <w:sz w:val="20"/>
          <w:szCs w:val="20"/>
        </w:rPr>
      </w:pPr>
      <w:r>
        <w:rPr>
          <w:rFonts w:ascii="Arial" w:hAnsi="Arial" w:cs="Arial"/>
          <w:color w:val="000000"/>
          <w:sz w:val="20"/>
          <w:szCs w:val="20"/>
        </w:rPr>
        <w:t>(2) They shall come into force on the date of their publication in the </w:t>
      </w:r>
      <w:hyperlink r:id="rId72" w:tgtFrame="_blank" w:history="1">
        <w:r>
          <w:rPr>
            <w:rStyle w:val="Hyperlink"/>
            <w:rFonts w:ascii="Arial" w:hAnsi="Arial" w:cs="Arial"/>
            <w:sz w:val="20"/>
            <w:szCs w:val="20"/>
          </w:rPr>
          <w:t>Official Gazette</w:t>
        </w:r>
      </w:hyperlink>
      <w:r>
        <w:rPr>
          <w:rFonts w:ascii="Arial" w:hAnsi="Arial" w:cs="Arial"/>
          <w:color w:val="000000"/>
          <w:sz w:val="20"/>
          <w:szCs w:val="20"/>
        </w:rPr>
        <w:t>.</w:t>
      </w:r>
    </w:p>
    <w:p w:rsidR="0001090D" w:rsidRDefault="0001090D" w:rsidP="0001090D">
      <w:pPr>
        <w:pStyle w:val="NormalWeb"/>
        <w:jc w:val="both"/>
        <w:rPr>
          <w:rFonts w:ascii="Arial" w:hAnsi="Arial" w:cs="Arial"/>
          <w:color w:val="000000"/>
          <w:sz w:val="20"/>
          <w:szCs w:val="20"/>
        </w:rPr>
      </w:pPr>
      <w:r>
        <w:rPr>
          <w:rStyle w:val="head1"/>
          <w:rFonts w:ascii="Arial" w:hAnsi="Arial" w:cs="Arial"/>
          <w:b/>
          <w:bCs/>
          <w:color w:val="000000"/>
          <w:sz w:val="20"/>
          <w:szCs w:val="20"/>
        </w:rPr>
        <w:t xml:space="preserve">2. </w:t>
      </w:r>
      <w:proofErr w:type="gramStart"/>
      <w:r>
        <w:rPr>
          <w:rStyle w:val="head1"/>
          <w:rFonts w:ascii="Arial" w:hAnsi="Arial" w:cs="Arial"/>
          <w:b/>
          <w:bCs/>
          <w:color w:val="000000"/>
          <w:sz w:val="20"/>
          <w:szCs w:val="20"/>
        </w:rPr>
        <w:t>Definitions.–</w:t>
      </w:r>
      <w:proofErr w:type="gramEnd"/>
      <w:r>
        <w:rPr>
          <w:rFonts w:ascii="Arial" w:hAnsi="Arial" w:cs="Arial"/>
          <w:color w:val="000000"/>
          <w:sz w:val="20"/>
          <w:szCs w:val="20"/>
        </w:rPr>
        <w:t> (1) In these regulations, unless the context otherwise requires,–</w:t>
      </w:r>
    </w:p>
    <w:p w:rsidR="0001090D" w:rsidRDefault="0001090D" w:rsidP="0001090D">
      <w:pPr>
        <w:pStyle w:val="NormalWeb"/>
        <w:jc w:val="both"/>
        <w:rPr>
          <w:rFonts w:ascii="Arial" w:hAnsi="Arial" w:cs="Arial"/>
          <w:color w:val="000000"/>
          <w:sz w:val="20"/>
          <w:szCs w:val="20"/>
        </w:rPr>
      </w:pPr>
      <w:r>
        <w:rPr>
          <w:rFonts w:ascii="Arial" w:hAnsi="Arial" w:cs="Arial"/>
          <w:color w:val="000000"/>
          <w:sz w:val="20"/>
          <w:szCs w:val="20"/>
        </w:rPr>
        <w:t>(a) “Act” means the Foreign Exchange Management Act, 1999 (42 of 1999);</w:t>
      </w:r>
    </w:p>
    <w:p w:rsidR="0001090D" w:rsidRDefault="0001090D" w:rsidP="0001090D">
      <w:pPr>
        <w:pStyle w:val="NormalWeb"/>
        <w:jc w:val="both"/>
        <w:rPr>
          <w:rFonts w:ascii="Arial" w:hAnsi="Arial" w:cs="Arial"/>
          <w:color w:val="000000"/>
          <w:sz w:val="20"/>
          <w:szCs w:val="20"/>
        </w:rPr>
      </w:pPr>
      <w:r>
        <w:rPr>
          <w:rFonts w:ascii="Arial" w:hAnsi="Arial" w:cs="Arial"/>
          <w:color w:val="000000"/>
          <w:sz w:val="20"/>
          <w:szCs w:val="20"/>
        </w:rPr>
        <w:t>(b) “debt instruments” shall have the same meaning as assigned to it in the </w:t>
      </w:r>
      <w:hyperlink r:id="rId73" w:tgtFrame="_blank" w:history="1">
        <w:r>
          <w:rPr>
            <w:rStyle w:val="Hyperlink"/>
            <w:rFonts w:ascii="Arial" w:hAnsi="Arial" w:cs="Arial"/>
            <w:sz w:val="20"/>
            <w:szCs w:val="20"/>
          </w:rPr>
          <w:t>Foreign Exchange Management (Overseas Investment) Rules, 2022</w:t>
        </w:r>
      </w:hyperlink>
      <w:r>
        <w:rPr>
          <w:rFonts w:ascii="Arial" w:hAnsi="Arial" w:cs="Arial"/>
          <w:color w:val="000000"/>
          <w:sz w:val="20"/>
          <w:szCs w:val="20"/>
        </w:rPr>
        <w:t>;</w:t>
      </w:r>
    </w:p>
    <w:p w:rsidR="0001090D" w:rsidRDefault="0001090D" w:rsidP="0001090D">
      <w:pPr>
        <w:pStyle w:val="NormalWeb"/>
        <w:jc w:val="both"/>
        <w:rPr>
          <w:rFonts w:ascii="Arial" w:hAnsi="Arial" w:cs="Arial"/>
          <w:color w:val="000000"/>
          <w:sz w:val="20"/>
          <w:szCs w:val="20"/>
        </w:rPr>
      </w:pPr>
      <w:r>
        <w:rPr>
          <w:rFonts w:ascii="Arial" w:hAnsi="Arial" w:cs="Arial"/>
          <w:color w:val="000000"/>
          <w:sz w:val="20"/>
          <w:szCs w:val="20"/>
        </w:rPr>
        <w:t>(2) The words and expressions used but not defined in these regulations shall have the meanings respectively assigned to them in the Act or the </w:t>
      </w:r>
      <w:hyperlink r:id="rId74" w:tgtFrame="_blank" w:history="1">
        <w:r>
          <w:rPr>
            <w:rStyle w:val="Hyperlink"/>
            <w:rFonts w:ascii="Arial" w:hAnsi="Arial" w:cs="Arial"/>
            <w:sz w:val="20"/>
            <w:szCs w:val="20"/>
          </w:rPr>
          <w:t>Foreign Exchange Management (Overseas Investment) Rules, 2022</w:t>
        </w:r>
      </w:hyperlink>
      <w:r>
        <w:rPr>
          <w:rFonts w:ascii="Arial" w:hAnsi="Arial" w:cs="Arial"/>
          <w:color w:val="000000"/>
          <w:sz w:val="20"/>
          <w:szCs w:val="20"/>
        </w:rPr>
        <w:t>.</w:t>
      </w:r>
    </w:p>
    <w:p w:rsidR="0001090D" w:rsidRPr="005D5DB2" w:rsidRDefault="0001090D" w:rsidP="0001090D">
      <w:pPr>
        <w:pStyle w:val="NormalWeb"/>
        <w:spacing w:before="0" w:beforeAutospacing="0" w:after="0" w:afterAutospacing="0"/>
        <w:jc w:val="both"/>
        <w:rPr>
          <w:rFonts w:ascii="Arial" w:hAnsi="Arial" w:cs="Arial"/>
          <w:color w:val="000000"/>
          <w:sz w:val="20"/>
          <w:szCs w:val="20"/>
        </w:rPr>
      </w:pPr>
      <w:r w:rsidRPr="005D5DB2">
        <w:rPr>
          <w:rStyle w:val="head1"/>
          <w:rFonts w:ascii="Arial" w:hAnsi="Arial" w:cs="Arial"/>
          <w:bCs/>
          <w:color w:val="000000"/>
          <w:sz w:val="20"/>
          <w:szCs w:val="20"/>
        </w:rPr>
        <w:t>3. Financial commitment by Indian entity by modes other than equity capital</w:t>
      </w:r>
    </w:p>
    <w:p w:rsidR="0001090D" w:rsidRPr="005D5DB2" w:rsidRDefault="0001090D" w:rsidP="0001090D">
      <w:pPr>
        <w:pStyle w:val="NormalWeb"/>
        <w:spacing w:before="0" w:beforeAutospacing="0" w:after="0" w:afterAutospacing="0"/>
        <w:jc w:val="both"/>
        <w:rPr>
          <w:rFonts w:ascii="Arial" w:hAnsi="Arial" w:cs="Arial"/>
          <w:color w:val="000000"/>
          <w:sz w:val="20"/>
          <w:szCs w:val="20"/>
        </w:rPr>
      </w:pPr>
      <w:r w:rsidRPr="005D5DB2">
        <w:rPr>
          <w:rStyle w:val="head1"/>
          <w:rFonts w:ascii="Arial" w:hAnsi="Arial" w:cs="Arial"/>
          <w:bCs/>
          <w:color w:val="000000"/>
          <w:sz w:val="20"/>
          <w:szCs w:val="20"/>
        </w:rPr>
        <w:t>4. Financial commitment by Indian entity by way of debt</w:t>
      </w:r>
    </w:p>
    <w:p w:rsidR="0001090D" w:rsidRPr="005D5DB2" w:rsidRDefault="0001090D" w:rsidP="0001090D">
      <w:pPr>
        <w:pStyle w:val="NormalWeb"/>
        <w:spacing w:before="0" w:beforeAutospacing="0" w:after="0" w:afterAutospacing="0"/>
        <w:jc w:val="both"/>
        <w:rPr>
          <w:rFonts w:ascii="Arial" w:hAnsi="Arial" w:cs="Arial"/>
          <w:color w:val="000000"/>
          <w:sz w:val="20"/>
          <w:szCs w:val="20"/>
        </w:rPr>
      </w:pPr>
      <w:r w:rsidRPr="005D5DB2">
        <w:rPr>
          <w:rStyle w:val="head1"/>
          <w:rFonts w:ascii="Arial" w:hAnsi="Arial" w:cs="Arial"/>
          <w:bCs/>
          <w:color w:val="000000"/>
          <w:sz w:val="20"/>
          <w:szCs w:val="20"/>
        </w:rPr>
        <w:t>5. Financial commitment by way of guarantee</w:t>
      </w:r>
    </w:p>
    <w:p w:rsidR="0001090D" w:rsidRPr="005D5DB2" w:rsidRDefault="0001090D" w:rsidP="0001090D">
      <w:pPr>
        <w:pStyle w:val="NormalWeb"/>
        <w:spacing w:before="0" w:beforeAutospacing="0" w:after="0" w:afterAutospacing="0"/>
        <w:jc w:val="both"/>
        <w:rPr>
          <w:rFonts w:ascii="Arial" w:hAnsi="Arial" w:cs="Arial"/>
          <w:color w:val="000000"/>
          <w:sz w:val="20"/>
          <w:szCs w:val="20"/>
        </w:rPr>
      </w:pPr>
      <w:r w:rsidRPr="005D5DB2">
        <w:rPr>
          <w:rStyle w:val="head1"/>
          <w:rFonts w:ascii="Arial" w:hAnsi="Arial" w:cs="Arial"/>
          <w:bCs/>
          <w:color w:val="000000"/>
          <w:sz w:val="20"/>
          <w:szCs w:val="20"/>
        </w:rPr>
        <w:t>6. Financial commitment by way of pledge or charge</w:t>
      </w:r>
    </w:p>
    <w:p w:rsidR="0001090D" w:rsidRPr="005D5DB2" w:rsidRDefault="0001090D" w:rsidP="0001090D">
      <w:pPr>
        <w:pStyle w:val="NormalWeb"/>
        <w:spacing w:before="0" w:beforeAutospacing="0" w:after="0" w:afterAutospacing="0"/>
        <w:jc w:val="both"/>
        <w:rPr>
          <w:rFonts w:ascii="Arial" w:hAnsi="Arial" w:cs="Arial"/>
          <w:color w:val="000000"/>
          <w:sz w:val="20"/>
          <w:szCs w:val="20"/>
        </w:rPr>
      </w:pPr>
      <w:r w:rsidRPr="005D5DB2">
        <w:rPr>
          <w:rStyle w:val="head1"/>
          <w:rFonts w:ascii="Arial" w:hAnsi="Arial" w:cs="Arial"/>
          <w:bCs/>
          <w:color w:val="000000"/>
          <w:sz w:val="20"/>
          <w:szCs w:val="20"/>
        </w:rPr>
        <w:t>7. Acquisition or transfer by way of deferred payment</w:t>
      </w:r>
    </w:p>
    <w:p w:rsidR="0001090D" w:rsidRPr="005D5DB2" w:rsidRDefault="0001090D" w:rsidP="0001090D">
      <w:pPr>
        <w:pStyle w:val="NormalWeb"/>
        <w:spacing w:before="0" w:beforeAutospacing="0" w:after="0" w:afterAutospacing="0"/>
        <w:jc w:val="both"/>
        <w:rPr>
          <w:rFonts w:ascii="Arial" w:hAnsi="Arial" w:cs="Arial"/>
          <w:color w:val="000000"/>
          <w:sz w:val="20"/>
          <w:szCs w:val="20"/>
        </w:rPr>
      </w:pPr>
      <w:r w:rsidRPr="005D5DB2">
        <w:rPr>
          <w:rStyle w:val="head1"/>
          <w:rFonts w:ascii="Arial" w:hAnsi="Arial" w:cs="Arial"/>
          <w:bCs/>
          <w:color w:val="000000"/>
          <w:sz w:val="20"/>
          <w:szCs w:val="20"/>
        </w:rPr>
        <w:t>8. Mode of payment</w:t>
      </w:r>
    </w:p>
    <w:p w:rsidR="0001090D" w:rsidRPr="005D5DB2" w:rsidRDefault="0001090D" w:rsidP="0001090D">
      <w:pPr>
        <w:pStyle w:val="NormalWeb"/>
        <w:spacing w:before="0" w:beforeAutospacing="0" w:after="0" w:afterAutospacing="0"/>
        <w:jc w:val="both"/>
        <w:rPr>
          <w:rFonts w:ascii="Arial" w:hAnsi="Arial" w:cs="Arial"/>
          <w:color w:val="000000"/>
          <w:sz w:val="20"/>
          <w:szCs w:val="20"/>
        </w:rPr>
      </w:pPr>
      <w:r w:rsidRPr="005D5DB2">
        <w:rPr>
          <w:rStyle w:val="head1"/>
          <w:rFonts w:ascii="Arial" w:hAnsi="Arial" w:cs="Arial"/>
          <w:bCs/>
          <w:color w:val="000000"/>
          <w:sz w:val="20"/>
          <w:szCs w:val="20"/>
        </w:rPr>
        <w:t>9. Obligations of person resident in India</w:t>
      </w:r>
    </w:p>
    <w:p w:rsidR="0001090D" w:rsidRPr="005D5DB2" w:rsidRDefault="0001090D" w:rsidP="0001090D">
      <w:pPr>
        <w:pStyle w:val="NormalWeb"/>
        <w:spacing w:before="0" w:beforeAutospacing="0" w:after="0" w:afterAutospacing="0"/>
        <w:jc w:val="both"/>
        <w:rPr>
          <w:rFonts w:ascii="Arial" w:hAnsi="Arial" w:cs="Arial"/>
          <w:color w:val="000000"/>
          <w:sz w:val="20"/>
          <w:szCs w:val="20"/>
        </w:rPr>
      </w:pPr>
      <w:r w:rsidRPr="005D5DB2">
        <w:rPr>
          <w:rStyle w:val="head1"/>
          <w:rFonts w:ascii="Arial" w:hAnsi="Arial" w:cs="Arial"/>
          <w:bCs/>
          <w:color w:val="000000"/>
          <w:sz w:val="20"/>
          <w:szCs w:val="20"/>
        </w:rPr>
        <w:t>10. Reporting requirements for Overseas Investment</w:t>
      </w:r>
    </w:p>
    <w:p w:rsidR="0001090D" w:rsidRPr="005D5DB2" w:rsidRDefault="0001090D" w:rsidP="0001090D">
      <w:pPr>
        <w:pStyle w:val="NormalWeb"/>
        <w:spacing w:before="0" w:beforeAutospacing="0" w:after="0" w:afterAutospacing="0"/>
        <w:jc w:val="both"/>
        <w:rPr>
          <w:rFonts w:ascii="Arial" w:hAnsi="Arial" w:cs="Arial"/>
          <w:color w:val="000000"/>
          <w:sz w:val="20"/>
          <w:szCs w:val="20"/>
        </w:rPr>
      </w:pPr>
      <w:r w:rsidRPr="005D5DB2">
        <w:rPr>
          <w:rStyle w:val="head1"/>
          <w:rFonts w:ascii="Arial" w:hAnsi="Arial" w:cs="Arial"/>
          <w:bCs/>
          <w:color w:val="000000"/>
          <w:sz w:val="20"/>
          <w:szCs w:val="20"/>
        </w:rPr>
        <w:t>11. Delay in reporting</w:t>
      </w:r>
    </w:p>
    <w:p w:rsidR="0001090D" w:rsidRPr="005D5DB2" w:rsidRDefault="0001090D" w:rsidP="0001090D">
      <w:pPr>
        <w:pStyle w:val="NormalWeb"/>
        <w:spacing w:before="0" w:beforeAutospacing="0" w:after="0" w:afterAutospacing="0"/>
        <w:jc w:val="both"/>
        <w:rPr>
          <w:rFonts w:ascii="Arial" w:hAnsi="Arial" w:cs="Arial"/>
          <w:color w:val="000000"/>
          <w:sz w:val="20"/>
          <w:szCs w:val="20"/>
        </w:rPr>
      </w:pPr>
      <w:r w:rsidRPr="005D5DB2">
        <w:rPr>
          <w:rStyle w:val="head1"/>
          <w:rFonts w:ascii="Arial" w:hAnsi="Arial" w:cs="Arial"/>
          <w:bCs/>
          <w:color w:val="000000"/>
          <w:sz w:val="20"/>
          <w:szCs w:val="20"/>
        </w:rPr>
        <w:t>12. Restriction on further financial commitment or transfer</w:t>
      </w:r>
    </w:p>
    <w:p w:rsidR="0001090D" w:rsidRDefault="0001090D" w:rsidP="0001090D">
      <w:pPr>
        <w:pStyle w:val="NormalWeb"/>
        <w:rPr>
          <w:rFonts w:ascii="Arial" w:hAnsi="Arial" w:cs="Arial"/>
          <w:color w:val="000000"/>
          <w:sz w:val="20"/>
          <w:szCs w:val="20"/>
        </w:rPr>
      </w:pPr>
    </w:p>
    <w:p w:rsidR="0001090D" w:rsidRDefault="0001090D" w:rsidP="0001090D">
      <w:pPr>
        <w:pStyle w:val="NormalWeb"/>
        <w:rPr>
          <w:rFonts w:ascii="Arial" w:hAnsi="Arial" w:cs="Arial"/>
          <w:color w:val="000000"/>
          <w:sz w:val="20"/>
          <w:szCs w:val="20"/>
        </w:rPr>
      </w:pPr>
      <w:r>
        <w:rPr>
          <w:rFonts w:ascii="Arial" w:hAnsi="Arial" w:cs="Arial"/>
          <w:color w:val="000000"/>
          <w:sz w:val="20"/>
          <w:szCs w:val="20"/>
        </w:rPr>
        <w:t xml:space="preserve">(Ajay Kumar </w:t>
      </w:r>
      <w:proofErr w:type="spellStart"/>
      <w:r>
        <w:rPr>
          <w:rFonts w:ascii="Arial" w:hAnsi="Arial" w:cs="Arial"/>
          <w:color w:val="000000"/>
          <w:sz w:val="20"/>
          <w:szCs w:val="20"/>
        </w:rPr>
        <w:t>Misra</w:t>
      </w:r>
      <w:proofErr w:type="spellEnd"/>
      <w:r>
        <w:rPr>
          <w:rFonts w:ascii="Arial" w:hAnsi="Arial" w:cs="Arial"/>
          <w:color w:val="000000"/>
          <w:sz w:val="20"/>
          <w:szCs w:val="20"/>
        </w:rPr>
        <w:t>)</w:t>
      </w:r>
      <w:r>
        <w:rPr>
          <w:rFonts w:ascii="Arial" w:hAnsi="Arial" w:cs="Arial"/>
          <w:color w:val="000000"/>
          <w:sz w:val="20"/>
          <w:szCs w:val="20"/>
        </w:rPr>
        <w:br/>
        <w:t>Chief General Manager-in-Charge</w:t>
      </w:r>
    </w:p>
    <w:p w:rsidR="0001090D" w:rsidRDefault="0001090D" w:rsidP="0001090D"/>
    <w:p w:rsidR="0001090D" w:rsidRDefault="0001090D" w:rsidP="0001090D"/>
    <w:p w:rsidR="0001090D" w:rsidRDefault="0001090D" w:rsidP="0001090D"/>
    <w:p w:rsidR="0001090D" w:rsidRDefault="0001090D" w:rsidP="0001090D">
      <w:r>
        <w:t>More details can be referred to in the below link.</w:t>
      </w:r>
    </w:p>
    <w:p w:rsidR="0001090D" w:rsidRDefault="0001090D" w:rsidP="0001090D">
      <w:pPr>
        <w:rPr>
          <w:rFonts w:ascii="Arial" w:hAnsi="Arial" w:cs="Arial"/>
          <w:sz w:val="20"/>
          <w:szCs w:val="20"/>
        </w:rPr>
      </w:pPr>
      <w:r>
        <w:rPr>
          <w:rFonts w:ascii="Arial" w:hAnsi="Arial" w:cs="Arial"/>
          <w:sz w:val="20"/>
          <w:szCs w:val="20"/>
        </w:rPr>
        <w:t xml:space="preserve">Reference Link: </w:t>
      </w:r>
      <w:hyperlink r:id="rId75" w:history="1">
        <w:r w:rsidRPr="00200311">
          <w:rPr>
            <w:rStyle w:val="Hyperlink"/>
            <w:rFonts w:ascii="Arial" w:hAnsi="Arial" w:cs="Arial"/>
            <w:sz w:val="20"/>
            <w:szCs w:val="20"/>
          </w:rPr>
          <w:t>https://www.rbi.org.in/scripts/NotificationUser.aspx?Id=12380&amp;Mode=0</w:t>
        </w:r>
      </w:hyperlink>
    </w:p>
    <w:p w:rsidR="0001090D" w:rsidRDefault="0001090D" w:rsidP="0001090D"/>
    <w:p w:rsidR="0001090D" w:rsidRDefault="0001090D" w:rsidP="00BA0C06">
      <w:pPr>
        <w:rPr>
          <w:rFonts w:ascii="Arial" w:hAnsi="Arial" w:cs="Arial"/>
          <w:bCs/>
          <w:color w:val="000000"/>
          <w:sz w:val="20"/>
          <w:szCs w:val="20"/>
        </w:rPr>
      </w:pPr>
    </w:p>
    <w:p w:rsidR="0001090D" w:rsidRPr="00435B25" w:rsidRDefault="0001090D" w:rsidP="0001090D">
      <w:pPr>
        <w:rPr>
          <w:rFonts w:ascii="Arial" w:hAnsi="Arial" w:cs="Arial"/>
          <w:b/>
          <w:bCs/>
          <w:color w:val="000000"/>
          <w:sz w:val="20"/>
          <w:szCs w:val="20"/>
        </w:rPr>
      </w:pPr>
      <w:r w:rsidRPr="00435B25">
        <w:rPr>
          <w:rFonts w:ascii="Arial" w:hAnsi="Arial" w:cs="Arial"/>
          <w:b/>
          <w:bCs/>
          <w:color w:val="000000"/>
          <w:sz w:val="20"/>
          <w:szCs w:val="20"/>
        </w:rPr>
        <w:t>Foreign Exchange Management (Overseas Investment) Directions, 2022</w:t>
      </w:r>
    </w:p>
    <w:p w:rsidR="0001090D" w:rsidRPr="00435B25" w:rsidRDefault="0001090D" w:rsidP="0001090D">
      <w:pPr>
        <w:pStyle w:val="NormalWeb"/>
        <w:jc w:val="both"/>
        <w:rPr>
          <w:rFonts w:ascii="Arial" w:hAnsi="Arial" w:cs="Arial"/>
          <w:color w:val="000000"/>
          <w:sz w:val="20"/>
          <w:szCs w:val="20"/>
        </w:rPr>
      </w:pPr>
      <w:r w:rsidRPr="00435B25">
        <w:rPr>
          <w:rFonts w:ascii="Arial" w:hAnsi="Arial" w:cs="Arial"/>
          <w:color w:val="000000"/>
          <w:sz w:val="20"/>
          <w:szCs w:val="20"/>
        </w:rPr>
        <w:t>RBI/2022-2023/110</w:t>
      </w:r>
      <w:r w:rsidRPr="00435B25">
        <w:rPr>
          <w:rFonts w:ascii="Arial" w:hAnsi="Arial" w:cs="Arial"/>
          <w:color w:val="000000"/>
          <w:sz w:val="20"/>
          <w:szCs w:val="20"/>
        </w:rPr>
        <w:br/>
        <w:t>A.P. (DIR Series) Circular No.12</w:t>
      </w:r>
    </w:p>
    <w:p w:rsidR="0001090D" w:rsidRPr="00435B25" w:rsidRDefault="0001090D" w:rsidP="0001090D">
      <w:pPr>
        <w:pStyle w:val="NormalWeb"/>
        <w:jc w:val="right"/>
        <w:rPr>
          <w:rFonts w:ascii="Arial" w:hAnsi="Arial" w:cs="Arial"/>
          <w:color w:val="000000"/>
          <w:sz w:val="20"/>
          <w:szCs w:val="20"/>
        </w:rPr>
      </w:pPr>
      <w:r w:rsidRPr="00435B25">
        <w:rPr>
          <w:rFonts w:ascii="Arial" w:hAnsi="Arial" w:cs="Arial"/>
          <w:color w:val="000000"/>
          <w:sz w:val="20"/>
          <w:szCs w:val="20"/>
        </w:rPr>
        <w:t>August 22, 2022</w:t>
      </w:r>
    </w:p>
    <w:p w:rsidR="0001090D" w:rsidRPr="00435B25" w:rsidRDefault="0001090D" w:rsidP="0001090D">
      <w:pPr>
        <w:pStyle w:val="NormalWeb"/>
        <w:spacing w:before="0" w:beforeAutospacing="0" w:after="0" w:afterAutospacing="0"/>
        <w:jc w:val="both"/>
        <w:rPr>
          <w:rFonts w:ascii="Arial" w:hAnsi="Arial" w:cs="Arial"/>
          <w:color w:val="000000"/>
          <w:sz w:val="20"/>
          <w:szCs w:val="20"/>
        </w:rPr>
      </w:pPr>
      <w:r w:rsidRPr="00435B25">
        <w:rPr>
          <w:rFonts w:ascii="Arial" w:hAnsi="Arial" w:cs="Arial"/>
          <w:color w:val="000000"/>
          <w:sz w:val="20"/>
          <w:szCs w:val="20"/>
        </w:rPr>
        <w:t>All Category – I Authorised Dealer Banks</w:t>
      </w:r>
    </w:p>
    <w:p w:rsidR="0001090D" w:rsidRPr="00435B25" w:rsidRDefault="0001090D" w:rsidP="0001090D">
      <w:pPr>
        <w:pStyle w:val="NormalWeb"/>
        <w:spacing w:before="0" w:beforeAutospacing="0" w:after="0" w:afterAutospacing="0"/>
        <w:jc w:val="both"/>
        <w:rPr>
          <w:rFonts w:ascii="Arial" w:hAnsi="Arial" w:cs="Arial"/>
          <w:color w:val="000000"/>
          <w:sz w:val="20"/>
          <w:szCs w:val="20"/>
        </w:rPr>
      </w:pPr>
      <w:r w:rsidRPr="00435B25">
        <w:rPr>
          <w:rFonts w:ascii="Arial" w:hAnsi="Arial" w:cs="Arial"/>
          <w:color w:val="000000"/>
          <w:sz w:val="20"/>
          <w:szCs w:val="20"/>
        </w:rPr>
        <w:t>Madam/Sir</w:t>
      </w:r>
    </w:p>
    <w:p w:rsidR="0001090D" w:rsidRPr="00435B25" w:rsidRDefault="0001090D" w:rsidP="0001090D">
      <w:pPr>
        <w:pStyle w:val="head"/>
        <w:jc w:val="center"/>
        <w:rPr>
          <w:rFonts w:ascii="Arial" w:hAnsi="Arial" w:cs="Arial"/>
          <w:b/>
          <w:bCs/>
          <w:color w:val="000000"/>
          <w:sz w:val="20"/>
          <w:szCs w:val="20"/>
        </w:rPr>
      </w:pPr>
      <w:r w:rsidRPr="00435B25">
        <w:rPr>
          <w:rFonts w:ascii="Arial" w:hAnsi="Arial" w:cs="Arial"/>
          <w:b/>
          <w:bCs/>
          <w:color w:val="000000"/>
          <w:sz w:val="20"/>
          <w:szCs w:val="20"/>
        </w:rPr>
        <w:t>Foreign Exchange Management (Overseas Investment) Directions, 2022</w:t>
      </w:r>
    </w:p>
    <w:p w:rsidR="0001090D" w:rsidRPr="00435B25" w:rsidRDefault="0001090D" w:rsidP="0001090D">
      <w:pPr>
        <w:pStyle w:val="NormalWeb"/>
        <w:jc w:val="both"/>
        <w:rPr>
          <w:rFonts w:ascii="Arial" w:hAnsi="Arial" w:cs="Arial"/>
          <w:color w:val="000000"/>
          <w:sz w:val="20"/>
          <w:szCs w:val="20"/>
        </w:rPr>
      </w:pPr>
      <w:r w:rsidRPr="00435B25">
        <w:rPr>
          <w:rFonts w:ascii="Arial" w:hAnsi="Arial" w:cs="Arial"/>
          <w:color w:val="000000"/>
          <w:sz w:val="20"/>
          <w:szCs w:val="20"/>
        </w:rPr>
        <w:t xml:space="preserve">Overseas investments by </w:t>
      </w:r>
      <w:proofErr w:type="gramStart"/>
      <w:r w:rsidRPr="00435B25">
        <w:rPr>
          <w:rFonts w:ascii="Arial" w:hAnsi="Arial" w:cs="Arial"/>
          <w:color w:val="000000"/>
          <w:sz w:val="20"/>
          <w:szCs w:val="20"/>
        </w:rPr>
        <w:t>persons</w:t>
      </w:r>
      <w:proofErr w:type="gramEnd"/>
      <w:r w:rsidRPr="00435B25">
        <w:rPr>
          <w:rFonts w:ascii="Arial" w:hAnsi="Arial" w:cs="Arial"/>
          <w:color w:val="000000"/>
          <w:sz w:val="20"/>
          <w:szCs w:val="20"/>
        </w:rPr>
        <w:t xml:space="preserve"> resident in India enhance the scale and scope of business operations of Indian entrepreneurs by providing global opportunities for growth. Such ventures through easier access to technology, research and development, a wider global market and reduced cost of capital along with other benefits increase the competitiveness of Indian entities and boost their brand value. These overseas investments are also important drivers of foreign trade and technology transfer thus boosting domestic employment, investment and growth through such interlinkages.</w:t>
      </w:r>
    </w:p>
    <w:p w:rsidR="0001090D" w:rsidRPr="00435B25" w:rsidRDefault="0001090D" w:rsidP="0001090D">
      <w:pPr>
        <w:pStyle w:val="NormalWeb"/>
        <w:jc w:val="both"/>
        <w:rPr>
          <w:rFonts w:ascii="Arial" w:hAnsi="Arial" w:cs="Arial"/>
          <w:color w:val="000000"/>
          <w:sz w:val="20"/>
          <w:szCs w:val="20"/>
        </w:rPr>
      </w:pPr>
      <w:r w:rsidRPr="00435B25">
        <w:rPr>
          <w:rFonts w:ascii="Arial" w:hAnsi="Arial" w:cs="Arial"/>
          <w:color w:val="000000"/>
          <w:sz w:val="20"/>
          <w:szCs w:val="20"/>
        </w:rPr>
        <w:t>2. In keeping with the spirit of liberalisation and to promote ease of doing business, the Central Government and the Reserve Bank of India have been progressively simplifying the procedures and rationalising the rules and regulations under the Foreign Exchange Management Act, 1999. In this direction, a significant step has been taken with operationalisation of a new Overseas Investment regime. </w:t>
      </w:r>
      <w:hyperlink r:id="rId76" w:tgtFrame="_blank" w:history="1">
        <w:r w:rsidRPr="00435B25">
          <w:rPr>
            <w:rStyle w:val="Hyperlink"/>
            <w:rFonts w:ascii="Arial" w:hAnsi="Arial" w:cs="Arial"/>
            <w:sz w:val="20"/>
            <w:szCs w:val="20"/>
          </w:rPr>
          <w:t>Foreign Exchange Management (Overseas Investment) Rules, 2022</w:t>
        </w:r>
      </w:hyperlink>
      <w:r w:rsidRPr="00435B25">
        <w:rPr>
          <w:rFonts w:ascii="Arial" w:hAnsi="Arial" w:cs="Arial"/>
          <w:color w:val="000000"/>
          <w:sz w:val="20"/>
          <w:szCs w:val="20"/>
        </w:rPr>
        <w:t> have been notified by the Central Government vide Notification No. G.S.R. 646(E) dated August 22, 2022 and </w:t>
      </w:r>
      <w:hyperlink r:id="rId77" w:tgtFrame="_blank" w:history="1">
        <w:r w:rsidRPr="00435B25">
          <w:rPr>
            <w:rStyle w:val="Hyperlink"/>
            <w:rFonts w:ascii="Arial" w:hAnsi="Arial" w:cs="Arial"/>
            <w:sz w:val="20"/>
            <w:szCs w:val="20"/>
          </w:rPr>
          <w:t>Foreign Exchange Management (Overseas Investment) Regulations, 2022</w:t>
        </w:r>
      </w:hyperlink>
      <w:r w:rsidRPr="00435B25">
        <w:rPr>
          <w:rFonts w:ascii="Arial" w:hAnsi="Arial" w:cs="Arial"/>
          <w:color w:val="000000"/>
          <w:sz w:val="20"/>
          <w:szCs w:val="20"/>
        </w:rPr>
        <w:t> have been notified by the Reserve Bank vide Notification No. FEMA 400/2022-RB dated August 22, 2022 in supersession of the </w:t>
      </w:r>
      <w:hyperlink r:id="rId78" w:tgtFrame="_blank" w:history="1">
        <w:r w:rsidRPr="00435B25">
          <w:rPr>
            <w:rStyle w:val="Hyperlink"/>
            <w:rFonts w:ascii="Arial" w:hAnsi="Arial" w:cs="Arial"/>
            <w:sz w:val="20"/>
            <w:szCs w:val="20"/>
          </w:rPr>
          <w:t>Notification No. FEMA 120/2004-RB dated July 07, 2004</w:t>
        </w:r>
      </w:hyperlink>
      <w:r w:rsidRPr="00435B25">
        <w:rPr>
          <w:rFonts w:ascii="Arial" w:hAnsi="Arial" w:cs="Arial"/>
          <w:color w:val="000000"/>
          <w:sz w:val="20"/>
          <w:szCs w:val="20"/>
        </w:rPr>
        <w:t> [Foreign Exchange Management (Transfer or Issue of any Foreign Security) (Amendment) Regulations, 2004] and </w:t>
      </w:r>
      <w:hyperlink r:id="rId79" w:tgtFrame="_blank" w:history="1">
        <w:r w:rsidRPr="00435B25">
          <w:rPr>
            <w:rStyle w:val="Hyperlink"/>
            <w:rFonts w:ascii="Arial" w:hAnsi="Arial" w:cs="Arial"/>
            <w:sz w:val="20"/>
            <w:szCs w:val="20"/>
          </w:rPr>
          <w:t>Notification No. FEMA 7 (R)/2015-RB dated January 21, 2016</w:t>
        </w:r>
      </w:hyperlink>
      <w:r w:rsidRPr="00435B25">
        <w:rPr>
          <w:rFonts w:ascii="Arial" w:hAnsi="Arial" w:cs="Arial"/>
          <w:color w:val="000000"/>
          <w:sz w:val="20"/>
          <w:szCs w:val="20"/>
        </w:rPr>
        <w:t xml:space="preserve"> [Foreign Exchange Management (Acquisition and Transfer of Immovable Property Outside India) Regulations, 2015]. The new regime simplifies the existing framework for overseas investment by </w:t>
      </w:r>
      <w:proofErr w:type="gramStart"/>
      <w:r w:rsidRPr="00435B25">
        <w:rPr>
          <w:rFonts w:ascii="Arial" w:hAnsi="Arial" w:cs="Arial"/>
          <w:color w:val="000000"/>
          <w:sz w:val="20"/>
          <w:szCs w:val="20"/>
        </w:rPr>
        <w:t>persons</w:t>
      </w:r>
      <w:proofErr w:type="gramEnd"/>
      <w:r w:rsidRPr="00435B25">
        <w:rPr>
          <w:rFonts w:ascii="Arial" w:hAnsi="Arial" w:cs="Arial"/>
          <w:color w:val="000000"/>
          <w:sz w:val="20"/>
          <w:szCs w:val="20"/>
        </w:rPr>
        <w:t xml:space="preserve"> resident in India to cover wider economic activity and significantly reduces the need for seeking specific approvals. This will reduce the compliance burden and associated compliance costs.</w:t>
      </w:r>
    </w:p>
    <w:p w:rsidR="0001090D" w:rsidRPr="00435B25" w:rsidRDefault="0001090D" w:rsidP="0001090D">
      <w:pPr>
        <w:pStyle w:val="NormalWeb"/>
        <w:spacing w:before="0" w:beforeAutospacing="0" w:after="0" w:afterAutospacing="0"/>
        <w:rPr>
          <w:rFonts w:ascii="Arial" w:hAnsi="Arial" w:cs="Arial"/>
          <w:color w:val="000000"/>
          <w:sz w:val="20"/>
          <w:szCs w:val="20"/>
        </w:rPr>
      </w:pPr>
      <w:r w:rsidRPr="00435B25">
        <w:rPr>
          <w:rFonts w:ascii="Arial" w:hAnsi="Arial" w:cs="Arial"/>
          <w:color w:val="000000"/>
          <w:sz w:val="20"/>
          <w:szCs w:val="20"/>
        </w:rPr>
        <w:t>3. Some of the significant changes brought about through the new rules and regulations are summarised below:</w:t>
      </w:r>
    </w:p>
    <w:p w:rsidR="0001090D" w:rsidRPr="00435B25" w:rsidRDefault="0001090D" w:rsidP="0001090D">
      <w:pPr>
        <w:pStyle w:val="NormalWeb"/>
        <w:spacing w:before="0" w:beforeAutospacing="0" w:after="0" w:afterAutospacing="0"/>
        <w:rPr>
          <w:rFonts w:ascii="Arial" w:hAnsi="Arial" w:cs="Arial"/>
          <w:color w:val="000000"/>
          <w:sz w:val="20"/>
          <w:szCs w:val="20"/>
        </w:rPr>
      </w:pPr>
      <w:r w:rsidRPr="00435B25">
        <w:rPr>
          <w:rFonts w:ascii="Arial" w:hAnsi="Arial" w:cs="Arial"/>
          <w:color w:val="000000"/>
          <w:sz w:val="20"/>
          <w:szCs w:val="20"/>
        </w:rPr>
        <w:t>(i) enhanced clarity with respect to various definitions;</w:t>
      </w:r>
    </w:p>
    <w:p w:rsidR="0001090D" w:rsidRPr="00435B25" w:rsidRDefault="0001090D" w:rsidP="0001090D">
      <w:pPr>
        <w:pStyle w:val="NormalWeb"/>
        <w:spacing w:before="0" w:beforeAutospacing="0" w:after="0" w:afterAutospacing="0"/>
        <w:rPr>
          <w:rFonts w:ascii="Arial" w:hAnsi="Arial" w:cs="Arial"/>
          <w:color w:val="000000"/>
          <w:sz w:val="20"/>
          <w:szCs w:val="20"/>
        </w:rPr>
      </w:pPr>
      <w:r w:rsidRPr="00435B25">
        <w:rPr>
          <w:rFonts w:ascii="Arial" w:hAnsi="Arial" w:cs="Arial"/>
          <w:color w:val="000000"/>
          <w:sz w:val="20"/>
          <w:szCs w:val="20"/>
        </w:rPr>
        <w:t>(ii) introduction of the concept of “strategic sector”;</w:t>
      </w:r>
    </w:p>
    <w:p w:rsidR="0001090D" w:rsidRPr="00435B25" w:rsidRDefault="0001090D" w:rsidP="0001090D">
      <w:pPr>
        <w:pStyle w:val="NormalWeb"/>
        <w:spacing w:before="0" w:beforeAutospacing="0" w:after="0" w:afterAutospacing="0"/>
        <w:rPr>
          <w:rFonts w:ascii="Arial" w:hAnsi="Arial" w:cs="Arial"/>
          <w:color w:val="000000"/>
          <w:sz w:val="20"/>
          <w:szCs w:val="20"/>
        </w:rPr>
      </w:pPr>
      <w:r w:rsidRPr="00435B25">
        <w:rPr>
          <w:rFonts w:ascii="Arial" w:hAnsi="Arial" w:cs="Arial"/>
          <w:color w:val="000000"/>
          <w:sz w:val="20"/>
          <w:szCs w:val="20"/>
        </w:rPr>
        <w:t>(iii) dispensing with the requirement of approval for:</w:t>
      </w:r>
    </w:p>
    <w:p w:rsidR="0001090D" w:rsidRPr="00435B25" w:rsidRDefault="0001090D" w:rsidP="00DA1141">
      <w:pPr>
        <w:pStyle w:val="NormalWeb"/>
        <w:numPr>
          <w:ilvl w:val="0"/>
          <w:numId w:val="11"/>
        </w:numPr>
        <w:spacing w:before="0" w:beforeAutospacing="0"/>
        <w:ind w:left="0"/>
        <w:jc w:val="both"/>
        <w:rPr>
          <w:rFonts w:ascii="Arial" w:hAnsi="Arial" w:cs="Arial"/>
          <w:color w:val="000000"/>
          <w:sz w:val="20"/>
          <w:szCs w:val="20"/>
        </w:rPr>
      </w:pPr>
      <w:r w:rsidRPr="00435B25">
        <w:rPr>
          <w:rFonts w:ascii="Arial" w:hAnsi="Arial" w:cs="Arial"/>
          <w:color w:val="000000"/>
          <w:sz w:val="20"/>
          <w:szCs w:val="20"/>
        </w:rPr>
        <w:t>deferred payment of consideration;</w:t>
      </w:r>
    </w:p>
    <w:p w:rsidR="0001090D" w:rsidRPr="00435B25" w:rsidRDefault="0001090D" w:rsidP="00DA1141">
      <w:pPr>
        <w:pStyle w:val="NormalWeb"/>
        <w:numPr>
          <w:ilvl w:val="0"/>
          <w:numId w:val="11"/>
        </w:numPr>
        <w:ind w:left="0"/>
        <w:jc w:val="both"/>
        <w:rPr>
          <w:rFonts w:ascii="Arial" w:hAnsi="Arial" w:cs="Arial"/>
          <w:color w:val="000000"/>
          <w:sz w:val="20"/>
          <w:szCs w:val="20"/>
        </w:rPr>
      </w:pPr>
      <w:r w:rsidRPr="00435B25">
        <w:rPr>
          <w:rFonts w:ascii="Arial" w:hAnsi="Arial" w:cs="Arial"/>
          <w:color w:val="000000"/>
          <w:sz w:val="20"/>
          <w:szCs w:val="20"/>
        </w:rPr>
        <w:t xml:space="preserve">investment/disinvestment by </w:t>
      </w:r>
      <w:proofErr w:type="gramStart"/>
      <w:r w:rsidRPr="00435B25">
        <w:rPr>
          <w:rFonts w:ascii="Arial" w:hAnsi="Arial" w:cs="Arial"/>
          <w:color w:val="000000"/>
          <w:sz w:val="20"/>
          <w:szCs w:val="20"/>
        </w:rPr>
        <w:t>persons</w:t>
      </w:r>
      <w:proofErr w:type="gramEnd"/>
      <w:r w:rsidRPr="00435B25">
        <w:rPr>
          <w:rFonts w:ascii="Arial" w:hAnsi="Arial" w:cs="Arial"/>
          <w:color w:val="000000"/>
          <w:sz w:val="20"/>
          <w:szCs w:val="20"/>
        </w:rPr>
        <w:t xml:space="preserve"> resident in India under investigation by any investigative agency/regulatory body;</w:t>
      </w:r>
    </w:p>
    <w:p w:rsidR="0001090D" w:rsidRPr="00435B25" w:rsidRDefault="0001090D" w:rsidP="00DA1141">
      <w:pPr>
        <w:pStyle w:val="NormalWeb"/>
        <w:numPr>
          <w:ilvl w:val="0"/>
          <w:numId w:val="11"/>
        </w:numPr>
        <w:ind w:left="0"/>
        <w:jc w:val="both"/>
        <w:rPr>
          <w:rFonts w:ascii="Arial" w:hAnsi="Arial" w:cs="Arial"/>
          <w:color w:val="000000"/>
          <w:sz w:val="20"/>
          <w:szCs w:val="20"/>
        </w:rPr>
      </w:pPr>
      <w:r w:rsidRPr="00435B25">
        <w:rPr>
          <w:rFonts w:ascii="Arial" w:hAnsi="Arial" w:cs="Arial"/>
          <w:color w:val="000000"/>
          <w:sz w:val="20"/>
          <w:szCs w:val="20"/>
        </w:rPr>
        <w:t>issuance of corporate guarantees to or on behalf of second or subsequent level step down subsidiary (SDS);</w:t>
      </w:r>
    </w:p>
    <w:p w:rsidR="0001090D" w:rsidRPr="00435B25" w:rsidRDefault="0001090D" w:rsidP="00DA1141">
      <w:pPr>
        <w:pStyle w:val="NormalWeb"/>
        <w:numPr>
          <w:ilvl w:val="0"/>
          <w:numId w:val="11"/>
        </w:numPr>
        <w:spacing w:before="0" w:beforeAutospacing="0" w:after="0" w:afterAutospacing="0"/>
        <w:ind w:left="0"/>
        <w:jc w:val="both"/>
        <w:rPr>
          <w:rFonts w:ascii="Arial" w:hAnsi="Arial" w:cs="Arial"/>
          <w:color w:val="000000"/>
          <w:sz w:val="20"/>
          <w:szCs w:val="20"/>
        </w:rPr>
      </w:pPr>
      <w:r w:rsidRPr="00435B25">
        <w:rPr>
          <w:rFonts w:ascii="Arial" w:hAnsi="Arial" w:cs="Arial"/>
          <w:color w:val="000000"/>
          <w:sz w:val="20"/>
          <w:szCs w:val="20"/>
        </w:rPr>
        <w:t>write-off on account of disinvestment;</w:t>
      </w:r>
    </w:p>
    <w:p w:rsidR="0001090D" w:rsidRPr="00435B25" w:rsidRDefault="0001090D" w:rsidP="0001090D">
      <w:pPr>
        <w:pStyle w:val="NormalWeb"/>
        <w:spacing w:before="0" w:beforeAutospacing="0" w:after="0" w:afterAutospacing="0"/>
        <w:jc w:val="both"/>
        <w:rPr>
          <w:rFonts w:ascii="Arial" w:hAnsi="Arial" w:cs="Arial"/>
          <w:color w:val="000000"/>
          <w:sz w:val="20"/>
          <w:szCs w:val="20"/>
        </w:rPr>
      </w:pPr>
      <w:r w:rsidRPr="00435B25">
        <w:rPr>
          <w:rFonts w:ascii="Arial" w:hAnsi="Arial" w:cs="Arial"/>
          <w:color w:val="000000"/>
          <w:sz w:val="20"/>
          <w:szCs w:val="20"/>
        </w:rPr>
        <w:t>(iv) introduction of “Late Submission Fee (LSF)” for reporting delays.</w:t>
      </w:r>
    </w:p>
    <w:p w:rsidR="0001090D" w:rsidRDefault="0001090D" w:rsidP="0001090D">
      <w:pPr>
        <w:pStyle w:val="NormalWeb"/>
        <w:spacing w:after="0" w:afterAutospacing="0"/>
        <w:rPr>
          <w:rFonts w:ascii="Arial" w:hAnsi="Arial" w:cs="Arial"/>
          <w:color w:val="000000"/>
          <w:sz w:val="20"/>
          <w:szCs w:val="20"/>
        </w:rPr>
      </w:pPr>
      <w:r w:rsidRPr="00435B25">
        <w:rPr>
          <w:rFonts w:ascii="Arial" w:hAnsi="Arial" w:cs="Arial"/>
          <w:color w:val="000000"/>
          <w:sz w:val="20"/>
          <w:szCs w:val="20"/>
        </w:rPr>
        <w:t>Yours faithfully</w:t>
      </w:r>
    </w:p>
    <w:p w:rsidR="0001090D" w:rsidRPr="00435B25" w:rsidRDefault="0001090D" w:rsidP="0001090D">
      <w:pPr>
        <w:pStyle w:val="NormalWeb"/>
        <w:spacing w:before="0" w:beforeAutospacing="0" w:after="0" w:afterAutospacing="0"/>
        <w:rPr>
          <w:rFonts w:ascii="Arial" w:hAnsi="Arial" w:cs="Arial"/>
          <w:color w:val="000000"/>
          <w:sz w:val="20"/>
          <w:szCs w:val="20"/>
        </w:rPr>
      </w:pPr>
      <w:r w:rsidRPr="00435B25">
        <w:rPr>
          <w:rFonts w:ascii="Arial" w:hAnsi="Arial" w:cs="Arial"/>
          <w:color w:val="000000"/>
          <w:sz w:val="20"/>
          <w:szCs w:val="20"/>
        </w:rPr>
        <w:t xml:space="preserve">Ajay Kumar </w:t>
      </w:r>
      <w:proofErr w:type="spellStart"/>
      <w:r w:rsidRPr="00435B25">
        <w:rPr>
          <w:rFonts w:ascii="Arial" w:hAnsi="Arial" w:cs="Arial"/>
          <w:color w:val="000000"/>
          <w:sz w:val="20"/>
          <w:szCs w:val="20"/>
        </w:rPr>
        <w:t>Misra</w:t>
      </w:r>
      <w:proofErr w:type="spellEnd"/>
      <w:r w:rsidRPr="00435B25">
        <w:rPr>
          <w:rFonts w:ascii="Arial" w:hAnsi="Arial" w:cs="Arial"/>
          <w:color w:val="000000"/>
          <w:sz w:val="20"/>
          <w:szCs w:val="20"/>
        </w:rPr>
        <w:br/>
        <w:t>Chief General Manager-in-Charge</w:t>
      </w:r>
    </w:p>
    <w:p w:rsidR="0001090D" w:rsidRDefault="0001090D" w:rsidP="0001090D">
      <w:pPr>
        <w:rPr>
          <w:rFonts w:ascii="Arial" w:hAnsi="Arial" w:cs="Arial"/>
          <w:sz w:val="20"/>
          <w:szCs w:val="20"/>
        </w:rPr>
      </w:pPr>
    </w:p>
    <w:p w:rsidR="0001090D" w:rsidRPr="00435B25" w:rsidRDefault="0001090D" w:rsidP="0001090D">
      <w:pPr>
        <w:spacing w:after="0"/>
        <w:rPr>
          <w:rFonts w:ascii="Arial" w:hAnsi="Arial" w:cs="Arial"/>
          <w:sz w:val="20"/>
          <w:szCs w:val="20"/>
        </w:rPr>
      </w:pPr>
    </w:p>
    <w:p w:rsidR="0001090D" w:rsidRPr="00435B25" w:rsidRDefault="0001090D" w:rsidP="0001090D">
      <w:pPr>
        <w:spacing w:after="0"/>
        <w:rPr>
          <w:rFonts w:ascii="Arial" w:hAnsi="Arial" w:cs="Arial"/>
          <w:sz w:val="20"/>
          <w:szCs w:val="20"/>
        </w:rPr>
      </w:pPr>
      <w:r w:rsidRPr="00435B25">
        <w:rPr>
          <w:rFonts w:ascii="Arial" w:hAnsi="Arial" w:cs="Arial"/>
          <w:sz w:val="20"/>
          <w:szCs w:val="20"/>
        </w:rPr>
        <w:t>More details can be referred to in the below link.</w:t>
      </w:r>
    </w:p>
    <w:p w:rsidR="0001090D" w:rsidRDefault="0001090D" w:rsidP="0001090D">
      <w:pPr>
        <w:rPr>
          <w:rStyle w:val="Hyperlink"/>
          <w:rFonts w:ascii="Arial" w:hAnsi="Arial" w:cs="Arial"/>
          <w:sz w:val="20"/>
          <w:szCs w:val="20"/>
        </w:rPr>
      </w:pPr>
      <w:r w:rsidRPr="00435B25">
        <w:rPr>
          <w:rFonts w:ascii="Arial" w:hAnsi="Arial" w:cs="Arial"/>
          <w:sz w:val="20"/>
          <w:szCs w:val="20"/>
        </w:rPr>
        <w:lastRenderedPageBreak/>
        <w:t xml:space="preserve">Reference Link: </w:t>
      </w:r>
      <w:hyperlink r:id="rId80" w:history="1">
        <w:r w:rsidRPr="00435B25">
          <w:rPr>
            <w:rStyle w:val="Hyperlink"/>
            <w:rFonts w:ascii="Arial" w:hAnsi="Arial" w:cs="Arial"/>
            <w:sz w:val="20"/>
            <w:szCs w:val="20"/>
          </w:rPr>
          <w:t>https://www.rbi.org.in/scripts/NotificationUser.aspx?Id=12381&amp;Mode=0</w:t>
        </w:r>
      </w:hyperlink>
    </w:p>
    <w:p w:rsidR="0001090D" w:rsidRDefault="0001090D" w:rsidP="0001090D">
      <w:pPr>
        <w:rPr>
          <w:rStyle w:val="Hyperlink"/>
          <w:rFonts w:ascii="Arial" w:hAnsi="Arial" w:cs="Arial"/>
          <w:sz w:val="20"/>
          <w:szCs w:val="20"/>
        </w:rPr>
      </w:pPr>
    </w:p>
    <w:p w:rsidR="0001090D" w:rsidRDefault="0001090D" w:rsidP="0001090D">
      <w:pPr>
        <w:pStyle w:val="NormalWeb"/>
        <w:rPr>
          <w:rFonts w:ascii="Arial" w:hAnsi="Arial" w:cs="Arial"/>
          <w:b/>
          <w:bCs/>
          <w:color w:val="000000"/>
          <w:sz w:val="20"/>
          <w:szCs w:val="20"/>
        </w:rPr>
      </w:pPr>
      <w:r>
        <w:rPr>
          <w:rFonts w:ascii="Arial" w:hAnsi="Arial" w:cs="Arial"/>
          <w:b/>
          <w:bCs/>
          <w:color w:val="000000"/>
          <w:sz w:val="20"/>
          <w:szCs w:val="20"/>
        </w:rPr>
        <w:t>Guidelines on Digital Lending</w:t>
      </w:r>
    </w:p>
    <w:p w:rsidR="0001090D" w:rsidRDefault="0001090D" w:rsidP="0001090D">
      <w:pPr>
        <w:pStyle w:val="NormalWeb"/>
        <w:jc w:val="both"/>
        <w:rPr>
          <w:rFonts w:ascii="Arial" w:hAnsi="Arial" w:cs="Arial"/>
          <w:color w:val="000000"/>
          <w:sz w:val="20"/>
          <w:szCs w:val="20"/>
        </w:rPr>
      </w:pPr>
      <w:r>
        <w:rPr>
          <w:rFonts w:ascii="Arial" w:hAnsi="Arial" w:cs="Arial"/>
          <w:color w:val="000000"/>
          <w:sz w:val="20"/>
          <w:szCs w:val="20"/>
        </w:rPr>
        <w:t>RBI/2022-23/111</w:t>
      </w:r>
      <w:r>
        <w:rPr>
          <w:rFonts w:ascii="Arial" w:hAnsi="Arial" w:cs="Arial"/>
          <w:color w:val="000000"/>
          <w:sz w:val="20"/>
          <w:szCs w:val="20"/>
        </w:rPr>
        <w:br/>
        <w:t>DOR.CRE.REC.66/21.07.001/2022-23</w:t>
      </w:r>
    </w:p>
    <w:p w:rsidR="0001090D" w:rsidRDefault="0001090D" w:rsidP="0001090D">
      <w:pPr>
        <w:pStyle w:val="NormalWeb"/>
        <w:jc w:val="right"/>
        <w:rPr>
          <w:rFonts w:ascii="Arial" w:hAnsi="Arial" w:cs="Arial"/>
          <w:color w:val="000000"/>
          <w:sz w:val="20"/>
          <w:szCs w:val="20"/>
        </w:rPr>
      </w:pPr>
      <w:r>
        <w:rPr>
          <w:rFonts w:ascii="Arial" w:hAnsi="Arial" w:cs="Arial"/>
          <w:color w:val="000000"/>
          <w:sz w:val="20"/>
          <w:szCs w:val="20"/>
        </w:rPr>
        <w:t>September 02, 2022</w:t>
      </w:r>
    </w:p>
    <w:p w:rsidR="0001090D" w:rsidRDefault="0001090D" w:rsidP="0001090D">
      <w:pPr>
        <w:pStyle w:val="NormalWeb"/>
        <w:rPr>
          <w:rFonts w:ascii="Arial" w:hAnsi="Arial" w:cs="Arial"/>
          <w:color w:val="000000"/>
          <w:sz w:val="20"/>
          <w:szCs w:val="20"/>
        </w:rPr>
      </w:pPr>
      <w:r>
        <w:rPr>
          <w:rFonts w:ascii="Arial" w:hAnsi="Arial" w:cs="Arial"/>
          <w:color w:val="000000"/>
          <w:sz w:val="20"/>
          <w:szCs w:val="20"/>
        </w:rPr>
        <w:t>All Commercial Banks,</w:t>
      </w:r>
      <w:r>
        <w:rPr>
          <w:rFonts w:ascii="Arial" w:hAnsi="Arial" w:cs="Arial"/>
          <w:color w:val="000000"/>
          <w:sz w:val="20"/>
          <w:szCs w:val="20"/>
        </w:rPr>
        <w:br/>
        <w:t>Primary (Urban) Co-operative Banks, State Co-operative Banks,</w:t>
      </w:r>
      <w:r>
        <w:rPr>
          <w:rFonts w:ascii="Arial" w:hAnsi="Arial" w:cs="Arial"/>
          <w:color w:val="000000"/>
          <w:sz w:val="20"/>
          <w:szCs w:val="20"/>
        </w:rPr>
        <w:br/>
        <w:t>District Central Co-operative Banks; and</w:t>
      </w:r>
      <w:r>
        <w:rPr>
          <w:rFonts w:ascii="Arial" w:hAnsi="Arial" w:cs="Arial"/>
          <w:color w:val="000000"/>
          <w:sz w:val="20"/>
          <w:szCs w:val="20"/>
        </w:rPr>
        <w:br/>
        <w:t>Non-Banking Financial Companies (including Housing Finance Companies)</w:t>
      </w:r>
    </w:p>
    <w:p w:rsidR="0001090D" w:rsidRDefault="0001090D" w:rsidP="0001090D">
      <w:pPr>
        <w:pStyle w:val="NormalWeb"/>
        <w:rPr>
          <w:rFonts w:ascii="Arial" w:hAnsi="Arial" w:cs="Arial"/>
          <w:color w:val="000000"/>
          <w:sz w:val="20"/>
          <w:szCs w:val="20"/>
        </w:rPr>
      </w:pPr>
      <w:r>
        <w:rPr>
          <w:rFonts w:ascii="Arial" w:hAnsi="Arial" w:cs="Arial"/>
          <w:color w:val="000000"/>
          <w:sz w:val="20"/>
          <w:szCs w:val="20"/>
        </w:rPr>
        <w:t>Madam/ Sir,</w:t>
      </w:r>
    </w:p>
    <w:p w:rsidR="0001090D" w:rsidRDefault="0001090D" w:rsidP="0001090D">
      <w:pPr>
        <w:pStyle w:val="head"/>
        <w:jc w:val="center"/>
        <w:rPr>
          <w:rFonts w:ascii="Arial" w:hAnsi="Arial" w:cs="Arial"/>
          <w:b/>
          <w:bCs/>
          <w:color w:val="000000"/>
          <w:sz w:val="20"/>
          <w:szCs w:val="20"/>
        </w:rPr>
      </w:pPr>
      <w:r>
        <w:rPr>
          <w:rFonts w:ascii="Arial" w:hAnsi="Arial" w:cs="Arial"/>
          <w:b/>
          <w:bCs/>
          <w:color w:val="000000"/>
          <w:sz w:val="20"/>
          <w:szCs w:val="20"/>
        </w:rPr>
        <w:t>Guidelines on Digital Lending</w:t>
      </w:r>
    </w:p>
    <w:p w:rsidR="0001090D" w:rsidRDefault="0001090D" w:rsidP="0001090D">
      <w:pPr>
        <w:pStyle w:val="NormalWeb"/>
        <w:jc w:val="both"/>
        <w:rPr>
          <w:rFonts w:ascii="Arial" w:hAnsi="Arial" w:cs="Arial"/>
          <w:color w:val="000000"/>
          <w:sz w:val="20"/>
          <w:szCs w:val="20"/>
        </w:rPr>
      </w:pPr>
      <w:r>
        <w:rPr>
          <w:rFonts w:ascii="Arial" w:hAnsi="Arial" w:cs="Arial"/>
          <w:color w:val="000000"/>
          <w:sz w:val="20"/>
          <w:szCs w:val="20"/>
        </w:rPr>
        <w:t>A reference is invited to para 7 of the </w:t>
      </w:r>
      <w:hyperlink r:id="rId81" w:tgtFrame="_blank" w:history="1">
        <w:r>
          <w:rPr>
            <w:rStyle w:val="Hyperlink"/>
            <w:rFonts w:ascii="Arial" w:hAnsi="Arial" w:cs="Arial"/>
            <w:sz w:val="20"/>
            <w:szCs w:val="20"/>
          </w:rPr>
          <w:t>RBI Press Release “Recommendations of the Working Group on Digital Lending – Implementation” dated August 10, 2022</w:t>
        </w:r>
      </w:hyperlink>
      <w:r>
        <w:rPr>
          <w:rFonts w:ascii="Arial" w:hAnsi="Arial" w:cs="Arial"/>
          <w:color w:val="000000"/>
          <w:sz w:val="20"/>
          <w:szCs w:val="20"/>
        </w:rPr>
        <w:t>. Detailed guidelines on recommendations of the Working Group accepted for immediate implementation are attached as </w:t>
      </w:r>
      <w:hyperlink r:id="rId82" w:anchor="AN1" w:history="1">
        <w:r>
          <w:rPr>
            <w:rStyle w:val="Hyperlink"/>
            <w:rFonts w:ascii="Arial" w:hAnsi="Arial" w:cs="Arial"/>
            <w:sz w:val="20"/>
            <w:szCs w:val="20"/>
          </w:rPr>
          <w:t>Annex I</w:t>
        </w:r>
      </w:hyperlink>
      <w:r>
        <w:rPr>
          <w:rFonts w:ascii="Arial" w:hAnsi="Arial" w:cs="Arial"/>
          <w:color w:val="000000"/>
          <w:sz w:val="20"/>
          <w:szCs w:val="20"/>
        </w:rPr>
        <w:t> to this circular.</w:t>
      </w:r>
    </w:p>
    <w:p w:rsidR="0001090D" w:rsidRDefault="0001090D" w:rsidP="0001090D">
      <w:pPr>
        <w:pStyle w:val="NormalWeb"/>
        <w:jc w:val="both"/>
        <w:rPr>
          <w:rFonts w:ascii="Arial" w:hAnsi="Arial" w:cs="Arial"/>
          <w:color w:val="000000"/>
          <w:sz w:val="20"/>
          <w:szCs w:val="20"/>
        </w:rPr>
      </w:pPr>
      <w:r>
        <w:rPr>
          <w:rFonts w:ascii="Arial" w:hAnsi="Arial" w:cs="Arial"/>
          <w:color w:val="000000"/>
          <w:sz w:val="20"/>
          <w:szCs w:val="20"/>
        </w:rPr>
        <w:t>2. It is reiterated that outsourcing arrangements entered by Regulated Entities (REs) with a Lending Service Provider (LSP)/ Digital Lending App (DLA) does not diminish the REs’ obligations and they shall continue to conform to the extant guidelines on outsourcing</w:t>
      </w:r>
      <w:hyperlink r:id="rId83" w:anchor="F1" w:history="1">
        <w:r>
          <w:rPr>
            <w:rStyle w:val="Hyperlink"/>
            <w:rFonts w:ascii="Arial" w:hAnsi="Arial" w:cs="Arial"/>
            <w:sz w:val="15"/>
            <w:szCs w:val="15"/>
            <w:vertAlign w:val="superscript"/>
          </w:rPr>
          <w:t>1</w:t>
        </w:r>
      </w:hyperlink>
      <w:r>
        <w:rPr>
          <w:rFonts w:ascii="Arial" w:hAnsi="Arial" w:cs="Arial"/>
          <w:color w:val="000000"/>
          <w:sz w:val="20"/>
          <w:szCs w:val="20"/>
        </w:rPr>
        <w:t>. The REs are advised to ensure that the LSPs engaged by them and the DLAs (either of the RE or of the LSP engaged by the RE) comply with the guidelines contained in this circular.</w:t>
      </w:r>
    </w:p>
    <w:p w:rsidR="0001090D" w:rsidRDefault="0001090D" w:rsidP="0001090D">
      <w:pPr>
        <w:pStyle w:val="NormalWeb"/>
        <w:jc w:val="both"/>
        <w:rPr>
          <w:rFonts w:ascii="Arial" w:hAnsi="Arial" w:cs="Arial"/>
          <w:color w:val="000000"/>
          <w:sz w:val="20"/>
          <w:szCs w:val="20"/>
        </w:rPr>
      </w:pPr>
      <w:r>
        <w:rPr>
          <w:rFonts w:ascii="Arial" w:hAnsi="Arial" w:cs="Arial"/>
          <w:color w:val="000000"/>
          <w:sz w:val="20"/>
          <w:szCs w:val="20"/>
        </w:rPr>
        <w:t xml:space="preserve">3. It is further advised that the instructions contained in this circular shall be applicable to the ‘existing customers availing fresh loans’ and to ‘new customers getting </w:t>
      </w:r>
      <w:proofErr w:type="spellStart"/>
      <w:r>
        <w:rPr>
          <w:rFonts w:ascii="Arial" w:hAnsi="Arial" w:cs="Arial"/>
          <w:color w:val="000000"/>
          <w:sz w:val="20"/>
          <w:szCs w:val="20"/>
        </w:rPr>
        <w:t>onboarded</w:t>
      </w:r>
      <w:proofErr w:type="spellEnd"/>
      <w:r>
        <w:rPr>
          <w:rFonts w:ascii="Arial" w:hAnsi="Arial" w:cs="Arial"/>
          <w:color w:val="000000"/>
          <w:sz w:val="20"/>
          <w:szCs w:val="20"/>
        </w:rPr>
        <w:t>’, from the date of this circular. However, in order to ensure a smooth transition, REs shall be given time till November 30, 2022, to put in place adequate systems and processes to ensure that ‘existing digital loans’ (sanctioned as on the date of the circular) are also in compliance with these guidelines in both letter and spirit.</w:t>
      </w:r>
    </w:p>
    <w:p w:rsidR="0001090D" w:rsidRDefault="0001090D" w:rsidP="0001090D">
      <w:pPr>
        <w:pStyle w:val="NormalWeb"/>
        <w:jc w:val="both"/>
        <w:rPr>
          <w:rFonts w:ascii="Arial" w:hAnsi="Arial" w:cs="Arial"/>
          <w:color w:val="000000"/>
          <w:sz w:val="20"/>
          <w:szCs w:val="20"/>
        </w:rPr>
      </w:pPr>
      <w:r>
        <w:rPr>
          <w:rFonts w:ascii="Arial" w:hAnsi="Arial" w:cs="Arial"/>
          <w:color w:val="000000"/>
          <w:sz w:val="20"/>
          <w:szCs w:val="20"/>
        </w:rPr>
        <w:t>4. These directions are issued under sections 21, 35A and 56 of the Banking Regulation Act, 1949, sections 45JA, 45L and 45M of the Reserve Bank of India Act, 1934, sections 30A and 32 of the National Housing Bank Act, 1987, section 6 of the Factoring Regulation Act, 2011 and section 11 of the Credit Information Companies (Regulation) Act, 2005.</w:t>
      </w:r>
    </w:p>
    <w:p w:rsidR="0001090D" w:rsidRDefault="0001090D" w:rsidP="0001090D">
      <w:pPr>
        <w:pStyle w:val="NormalWeb"/>
        <w:spacing w:after="0" w:afterAutospacing="0"/>
        <w:rPr>
          <w:rFonts w:ascii="Arial" w:hAnsi="Arial" w:cs="Arial"/>
          <w:color w:val="000000"/>
          <w:sz w:val="20"/>
          <w:szCs w:val="20"/>
        </w:rPr>
      </w:pPr>
      <w:r>
        <w:rPr>
          <w:rFonts w:ascii="Arial" w:hAnsi="Arial" w:cs="Arial"/>
          <w:color w:val="000000"/>
          <w:sz w:val="20"/>
          <w:szCs w:val="20"/>
        </w:rPr>
        <w:t>Yours faithfully,</w:t>
      </w:r>
    </w:p>
    <w:p w:rsidR="0001090D" w:rsidRDefault="0001090D" w:rsidP="0001090D">
      <w:pPr>
        <w:pStyle w:val="NormalWeb"/>
        <w:spacing w:before="0" w:beforeAutospacing="0"/>
        <w:rPr>
          <w:rFonts w:ascii="Arial" w:hAnsi="Arial" w:cs="Arial"/>
          <w:color w:val="000000"/>
          <w:sz w:val="20"/>
          <w:szCs w:val="20"/>
        </w:rPr>
      </w:pPr>
      <w:r>
        <w:rPr>
          <w:rFonts w:ascii="Arial" w:hAnsi="Arial" w:cs="Arial"/>
          <w:color w:val="000000"/>
          <w:sz w:val="20"/>
          <w:szCs w:val="20"/>
        </w:rPr>
        <w:t>(</w:t>
      </w:r>
      <w:proofErr w:type="spellStart"/>
      <w:r>
        <w:rPr>
          <w:rFonts w:ascii="Arial" w:hAnsi="Arial" w:cs="Arial"/>
          <w:color w:val="000000"/>
          <w:sz w:val="20"/>
          <w:szCs w:val="20"/>
        </w:rPr>
        <w:t>Manoranjan</w:t>
      </w:r>
      <w:proofErr w:type="spellEnd"/>
      <w:r>
        <w:rPr>
          <w:rFonts w:ascii="Arial" w:hAnsi="Arial" w:cs="Arial"/>
          <w:color w:val="000000"/>
          <w:sz w:val="20"/>
          <w:szCs w:val="20"/>
        </w:rPr>
        <w:t xml:space="preserve"> Mishra)</w:t>
      </w:r>
      <w:r>
        <w:rPr>
          <w:rFonts w:ascii="Arial" w:hAnsi="Arial" w:cs="Arial"/>
          <w:color w:val="000000"/>
          <w:sz w:val="20"/>
          <w:szCs w:val="20"/>
        </w:rPr>
        <w:br/>
        <w:t>Chief General Manager</w:t>
      </w:r>
    </w:p>
    <w:p w:rsidR="0001090D" w:rsidRDefault="0001090D" w:rsidP="0001090D">
      <w:pPr>
        <w:spacing w:before="240" w:after="240"/>
        <w:rPr>
          <w:rFonts w:ascii="Times New Roman" w:hAnsi="Times New Roman" w:cs="Times New Roman"/>
          <w:sz w:val="24"/>
          <w:szCs w:val="24"/>
        </w:rPr>
      </w:pPr>
    </w:p>
    <w:p w:rsidR="0001090D" w:rsidRDefault="0001090D" w:rsidP="0001090D">
      <w:pPr>
        <w:spacing w:before="240" w:after="240"/>
        <w:rPr>
          <w:rFonts w:ascii="Times New Roman" w:hAnsi="Times New Roman" w:cs="Times New Roman"/>
          <w:sz w:val="24"/>
          <w:szCs w:val="24"/>
        </w:rPr>
      </w:pPr>
    </w:p>
    <w:p w:rsidR="0001090D" w:rsidRDefault="0001090D" w:rsidP="0001090D">
      <w:r>
        <w:t>More details can be referred to in the below link.</w:t>
      </w:r>
    </w:p>
    <w:p w:rsidR="0001090D" w:rsidRDefault="0001090D" w:rsidP="0001090D">
      <w:pPr>
        <w:pStyle w:val="NormalWeb"/>
        <w:rPr>
          <w:rFonts w:ascii="Arial" w:hAnsi="Arial" w:cs="Arial"/>
          <w:bCs/>
          <w:color w:val="000000"/>
          <w:sz w:val="20"/>
          <w:szCs w:val="20"/>
        </w:rPr>
      </w:pPr>
      <w:r>
        <w:rPr>
          <w:rFonts w:ascii="Arial" w:hAnsi="Arial" w:cs="Arial"/>
          <w:bCs/>
          <w:color w:val="000000"/>
          <w:sz w:val="20"/>
          <w:szCs w:val="20"/>
        </w:rPr>
        <w:t xml:space="preserve">Reference Link: </w:t>
      </w:r>
      <w:hyperlink r:id="rId84" w:history="1">
        <w:r w:rsidRPr="006865D6">
          <w:rPr>
            <w:rStyle w:val="Hyperlink"/>
            <w:rFonts w:ascii="Arial" w:hAnsi="Arial" w:cs="Arial"/>
            <w:bCs/>
            <w:sz w:val="20"/>
            <w:szCs w:val="20"/>
          </w:rPr>
          <w:t>https://rbi.org.in/Scripts/BS_CircularIndexDisplay.aspx?Id=12382</w:t>
        </w:r>
      </w:hyperlink>
    </w:p>
    <w:p w:rsidR="0001090D" w:rsidRDefault="0001090D" w:rsidP="0001090D">
      <w:pPr>
        <w:pStyle w:val="NormalWeb"/>
        <w:rPr>
          <w:rFonts w:ascii="Arial" w:hAnsi="Arial" w:cs="Arial"/>
          <w:bCs/>
          <w:color w:val="000000"/>
          <w:sz w:val="20"/>
          <w:szCs w:val="20"/>
        </w:rPr>
      </w:pPr>
    </w:p>
    <w:p w:rsidR="0001090D" w:rsidRDefault="0001090D" w:rsidP="0001090D">
      <w:pPr>
        <w:pStyle w:val="NormalWeb"/>
        <w:rPr>
          <w:rFonts w:ascii="Arial" w:hAnsi="Arial" w:cs="Arial"/>
          <w:color w:val="000000"/>
          <w:sz w:val="20"/>
          <w:szCs w:val="20"/>
        </w:rPr>
      </w:pPr>
    </w:p>
    <w:p w:rsidR="0001090D" w:rsidRDefault="0001090D" w:rsidP="0001090D">
      <w:pPr>
        <w:pStyle w:val="NormalWeb"/>
        <w:rPr>
          <w:rFonts w:ascii="Arial" w:hAnsi="Arial" w:cs="Arial"/>
          <w:color w:val="000000"/>
          <w:sz w:val="20"/>
          <w:szCs w:val="20"/>
        </w:rPr>
      </w:pPr>
    </w:p>
    <w:p w:rsidR="0001090D" w:rsidRDefault="0001090D" w:rsidP="0001090D">
      <w:pPr>
        <w:rPr>
          <w:rFonts w:ascii="Arial" w:hAnsi="Arial" w:cs="Arial"/>
          <w:bCs/>
          <w:color w:val="000000"/>
          <w:sz w:val="20"/>
          <w:szCs w:val="20"/>
        </w:rPr>
      </w:pPr>
    </w:p>
    <w:p w:rsidR="0001090D" w:rsidRDefault="0001090D" w:rsidP="0001090D">
      <w:pPr>
        <w:pStyle w:val="NormalWeb"/>
        <w:rPr>
          <w:rFonts w:ascii="Arial" w:hAnsi="Arial" w:cs="Arial"/>
          <w:b/>
          <w:bCs/>
          <w:color w:val="000000"/>
          <w:sz w:val="20"/>
          <w:szCs w:val="20"/>
        </w:rPr>
      </w:pPr>
      <w:r>
        <w:rPr>
          <w:rFonts w:ascii="Arial" w:hAnsi="Arial" w:cs="Arial"/>
          <w:b/>
          <w:bCs/>
          <w:color w:val="000000"/>
          <w:sz w:val="20"/>
          <w:szCs w:val="20"/>
        </w:rPr>
        <w:t>Incentive for improving service to non-chest branches</w:t>
      </w:r>
    </w:p>
    <w:p w:rsidR="0001090D" w:rsidRDefault="0001090D" w:rsidP="0001090D">
      <w:pPr>
        <w:pStyle w:val="NormalWeb"/>
        <w:jc w:val="both"/>
        <w:rPr>
          <w:rFonts w:ascii="Arial" w:hAnsi="Arial" w:cs="Arial"/>
          <w:color w:val="000000"/>
          <w:sz w:val="20"/>
          <w:szCs w:val="20"/>
        </w:rPr>
      </w:pPr>
      <w:r>
        <w:rPr>
          <w:rFonts w:ascii="Arial" w:hAnsi="Arial" w:cs="Arial"/>
          <w:color w:val="000000"/>
          <w:sz w:val="20"/>
          <w:szCs w:val="20"/>
        </w:rPr>
        <w:t>RBI/2022-23/112</w:t>
      </w:r>
      <w:r>
        <w:rPr>
          <w:rFonts w:ascii="Arial" w:hAnsi="Arial" w:cs="Arial"/>
          <w:color w:val="000000"/>
          <w:sz w:val="20"/>
          <w:szCs w:val="20"/>
        </w:rPr>
        <w:br/>
        <w:t>DCM (NPD) No.S770/09.40.002/2022-23</w:t>
      </w:r>
    </w:p>
    <w:p w:rsidR="0001090D" w:rsidRDefault="0001090D" w:rsidP="0001090D">
      <w:pPr>
        <w:pStyle w:val="NormalWeb"/>
        <w:jc w:val="right"/>
        <w:rPr>
          <w:rFonts w:ascii="Arial" w:hAnsi="Arial" w:cs="Arial"/>
          <w:color w:val="000000"/>
          <w:sz w:val="20"/>
          <w:szCs w:val="20"/>
        </w:rPr>
      </w:pPr>
      <w:r>
        <w:rPr>
          <w:rFonts w:ascii="Arial" w:hAnsi="Arial" w:cs="Arial"/>
          <w:color w:val="000000"/>
          <w:sz w:val="20"/>
          <w:szCs w:val="20"/>
        </w:rPr>
        <w:t>September 06, 2022</w:t>
      </w:r>
    </w:p>
    <w:p w:rsidR="0001090D" w:rsidRDefault="0001090D" w:rsidP="0001090D">
      <w:pPr>
        <w:pStyle w:val="NormalWeb"/>
        <w:rPr>
          <w:rFonts w:ascii="Arial" w:hAnsi="Arial" w:cs="Arial"/>
          <w:color w:val="000000"/>
          <w:sz w:val="20"/>
          <w:szCs w:val="20"/>
        </w:rPr>
      </w:pPr>
      <w:r>
        <w:rPr>
          <w:rFonts w:ascii="Arial" w:hAnsi="Arial" w:cs="Arial"/>
          <w:color w:val="000000"/>
          <w:sz w:val="20"/>
          <w:szCs w:val="20"/>
        </w:rPr>
        <w:t>The Chairman &amp; Managing Director</w:t>
      </w:r>
      <w:r>
        <w:rPr>
          <w:rFonts w:ascii="Arial" w:hAnsi="Arial" w:cs="Arial"/>
          <w:color w:val="000000"/>
          <w:sz w:val="20"/>
          <w:szCs w:val="20"/>
        </w:rPr>
        <w:br/>
        <w:t>Managing Director/ Chief Executive Officer</w:t>
      </w:r>
      <w:r>
        <w:rPr>
          <w:rFonts w:ascii="Arial" w:hAnsi="Arial" w:cs="Arial"/>
          <w:color w:val="000000"/>
          <w:sz w:val="20"/>
          <w:szCs w:val="20"/>
        </w:rPr>
        <w:br/>
        <w:t>All Banks having Currency Chests</w:t>
      </w:r>
    </w:p>
    <w:p w:rsidR="0001090D" w:rsidRDefault="0001090D" w:rsidP="0001090D">
      <w:pPr>
        <w:pStyle w:val="NormalWeb"/>
        <w:jc w:val="both"/>
        <w:rPr>
          <w:rFonts w:ascii="Arial" w:hAnsi="Arial" w:cs="Arial"/>
          <w:color w:val="000000"/>
          <w:sz w:val="20"/>
          <w:szCs w:val="20"/>
        </w:rPr>
      </w:pPr>
      <w:r>
        <w:rPr>
          <w:rFonts w:ascii="Arial" w:hAnsi="Arial" w:cs="Arial"/>
          <w:color w:val="000000"/>
          <w:sz w:val="20"/>
          <w:szCs w:val="20"/>
        </w:rPr>
        <w:t>Madam/ Sir,</w:t>
      </w:r>
    </w:p>
    <w:p w:rsidR="0001090D" w:rsidRDefault="0001090D" w:rsidP="0001090D">
      <w:pPr>
        <w:pStyle w:val="head"/>
        <w:jc w:val="both"/>
        <w:rPr>
          <w:rFonts w:ascii="Arial" w:hAnsi="Arial" w:cs="Arial"/>
          <w:b/>
          <w:bCs/>
          <w:color w:val="000000"/>
          <w:sz w:val="20"/>
          <w:szCs w:val="20"/>
        </w:rPr>
      </w:pPr>
      <w:r>
        <w:rPr>
          <w:rFonts w:ascii="Arial" w:hAnsi="Arial" w:cs="Arial"/>
          <w:b/>
          <w:bCs/>
          <w:color w:val="000000"/>
          <w:sz w:val="20"/>
          <w:szCs w:val="20"/>
          <w:u w:val="single"/>
        </w:rPr>
        <w:t>Incentive for improving service to non-chest branches</w:t>
      </w:r>
    </w:p>
    <w:p w:rsidR="0001090D" w:rsidRDefault="0001090D" w:rsidP="0001090D">
      <w:pPr>
        <w:pStyle w:val="NormalWeb"/>
        <w:jc w:val="both"/>
        <w:rPr>
          <w:rFonts w:ascii="Arial" w:hAnsi="Arial" w:cs="Arial"/>
          <w:color w:val="000000"/>
          <w:sz w:val="20"/>
          <w:szCs w:val="20"/>
        </w:rPr>
      </w:pPr>
      <w:r>
        <w:rPr>
          <w:rFonts w:ascii="Arial" w:hAnsi="Arial" w:cs="Arial"/>
          <w:color w:val="000000"/>
          <w:sz w:val="20"/>
          <w:szCs w:val="20"/>
        </w:rPr>
        <w:t>Please refer to </w:t>
      </w:r>
      <w:hyperlink r:id="rId85" w:tgtFrame="_blank" w:history="1">
        <w:r>
          <w:rPr>
            <w:rStyle w:val="Hyperlink"/>
            <w:rFonts w:ascii="Arial" w:hAnsi="Arial" w:cs="Arial"/>
            <w:sz w:val="20"/>
            <w:szCs w:val="20"/>
          </w:rPr>
          <w:t>circulars RBI/ 2015-16/ 293 DCM (NPD) No. 2564/ 09.40.02/ 2015-16 dated January 21, 2016</w:t>
        </w:r>
      </w:hyperlink>
      <w:r>
        <w:rPr>
          <w:rFonts w:ascii="Arial" w:hAnsi="Arial" w:cs="Arial"/>
          <w:color w:val="000000"/>
          <w:sz w:val="20"/>
          <w:szCs w:val="20"/>
        </w:rPr>
        <w:t> and </w:t>
      </w:r>
      <w:hyperlink r:id="rId86" w:tgtFrame="_blank" w:history="1">
        <w:r>
          <w:rPr>
            <w:rStyle w:val="Hyperlink"/>
            <w:rFonts w:ascii="Arial" w:hAnsi="Arial" w:cs="Arial"/>
            <w:sz w:val="20"/>
            <w:szCs w:val="20"/>
          </w:rPr>
          <w:t>DCM (</w:t>
        </w:r>
        <w:proofErr w:type="spellStart"/>
        <w:r>
          <w:rPr>
            <w:rStyle w:val="Hyperlink"/>
            <w:rFonts w:ascii="Arial" w:hAnsi="Arial" w:cs="Arial"/>
            <w:sz w:val="20"/>
            <w:szCs w:val="20"/>
          </w:rPr>
          <w:t>Plg</w:t>
        </w:r>
        <w:proofErr w:type="spellEnd"/>
        <w:r>
          <w:rPr>
            <w:rStyle w:val="Hyperlink"/>
            <w:rFonts w:ascii="Arial" w:hAnsi="Arial" w:cs="Arial"/>
            <w:sz w:val="20"/>
            <w:szCs w:val="20"/>
          </w:rPr>
          <w:t>.) No 2845/ 10.25.007/2018-19 dated May 23, 2019</w:t>
        </w:r>
      </w:hyperlink>
      <w:r>
        <w:rPr>
          <w:rFonts w:ascii="Arial" w:hAnsi="Arial" w:cs="Arial"/>
          <w:color w:val="000000"/>
          <w:sz w:val="20"/>
          <w:szCs w:val="20"/>
        </w:rPr>
        <w:t> on the captioned subject.</w:t>
      </w:r>
    </w:p>
    <w:p w:rsidR="0001090D" w:rsidRDefault="0001090D" w:rsidP="0001090D">
      <w:pPr>
        <w:pStyle w:val="NormalWeb"/>
        <w:jc w:val="both"/>
        <w:rPr>
          <w:rFonts w:ascii="Arial" w:hAnsi="Arial" w:cs="Arial"/>
          <w:color w:val="000000"/>
          <w:sz w:val="20"/>
          <w:szCs w:val="20"/>
        </w:rPr>
      </w:pPr>
      <w:r>
        <w:rPr>
          <w:rFonts w:ascii="Arial" w:hAnsi="Arial" w:cs="Arial"/>
          <w:color w:val="000000"/>
          <w:sz w:val="20"/>
          <w:szCs w:val="20"/>
        </w:rPr>
        <w:t>2. We have been receiving queries regarding the applicability of GST on the service charges levied on cash deposited by non-chest bank branches to the Currency Chests. It is clarified that the amount indicated in the aforesaid circulars are exclusive of applicable taxes. Accordingly, the service charges mentioned in the aforesaid circulars is to be read as ₹5 </w:t>
      </w:r>
      <w:r>
        <w:rPr>
          <w:rFonts w:ascii="Arial" w:hAnsi="Arial" w:cs="Arial"/>
          <w:color w:val="000000"/>
          <w:sz w:val="20"/>
          <w:szCs w:val="20"/>
          <w:u w:val="single"/>
        </w:rPr>
        <w:t>plus applicable taxes</w:t>
      </w:r>
      <w:r>
        <w:rPr>
          <w:rFonts w:ascii="Arial" w:hAnsi="Arial" w:cs="Arial"/>
          <w:color w:val="000000"/>
          <w:sz w:val="20"/>
          <w:szCs w:val="20"/>
        </w:rPr>
        <w:t> per packet and ₹8 </w:t>
      </w:r>
      <w:r>
        <w:rPr>
          <w:rFonts w:ascii="Arial" w:hAnsi="Arial" w:cs="Arial"/>
          <w:color w:val="000000"/>
          <w:sz w:val="20"/>
          <w:szCs w:val="20"/>
          <w:u w:val="single"/>
        </w:rPr>
        <w:t>plus applicable taxes</w:t>
      </w:r>
      <w:r>
        <w:rPr>
          <w:rFonts w:ascii="Arial" w:hAnsi="Arial" w:cs="Arial"/>
          <w:color w:val="000000"/>
          <w:sz w:val="20"/>
          <w:szCs w:val="20"/>
        </w:rPr>
        <w:t> per packet, as the case may be.</w:t>
      </w:r>
    </w:p>
    <w:p w:rsidR="0001090D" w:rsidRDefault="0001090D" w:rsidP="0001090D">
      <w:pPr>
        <w:pStyle w:val="NormalWeb"/>
        <w:jc w:val="both"/>
        <w:rPr>
          <w:rFonts w:ascii="Arial" w:hAnsi="Arial" w:cs="Arial"/>
          <w:color w:val="000000"/>
          <w:sz w:val="20"/>
          <w:szCs w:val="20"/>
        </w:rPr>
      </w:pPr>
      <w:r>
        <w:rPr>
          <w:rFonts w:ascii="Arial" w:hAnsi="Arial" w:cs="Arial"/>
          <w:color w:val="000000"/>
          <w:sz w:val="20"/>
          <w:szCs w:val="20"/>
        </w:rPr>
        <w:t>Yours faithfully,</w:t>
      </w:r>
    </w:p>
    <w:p w:rsidR="0001090D" w:rsidRDefault="0001090D" w:rsidP="0001090D">
      <w:pPr>
        <w:pStyle w:val="NormalWeb"/>
        <w:rPr>
          <w:rFonts w:ascii="Arial" w:hAnsi="Arial" w:cs="Arial"/>
          <w:color w:val="000000"/>
          <w:sz w:val="20"/>
          <w:szCs w:val="20"/>
        </w:rPr>
      </w:pPr>
      <w:r>
        <w:rPr>
          <w:rFonts w:ascii="Arial" w:hAnsi="Arial" w:cs="Arial"/>
          <w:color w:val="000000"/>
          <w:sz w:val="20"/>
          <w:szCs w:val="20"/>
        </w:rPr>
        <w:t>(Sanjeev Prakash)</w:t>
      </w:r>
      <w:r>
        <w:rPr>
          <w:rFonts w:ascii="Arial" w:hAnsi="Arial" w:cs="Arial"/>
          <w:color w:val="000000"/>
          <w:sz w:val="20"/>
          <w:szCs w:val="20"/>
        </w:rPr>
        <w:br/>
        <w:t>Chief General Manager</w:t>
      </w:r>
    </w:p>
    <w:p w:rsidR="0001090D" w:rsidRDefault="0001090D" w:rsidP="0001090D">
      <w:pPr>
        <w:pStyle w:val="NormalWeb"/>
        <w:rPr>
          <w:rFonts w:ascii="Arial" w:hAnsi="Arial" w:cs="Arial"/>
          <w:color w:val="000000"/>
          <w:sz w:val="20"/>
          <w:szCs w:val="20"/>
        </w:rPr>
      </w:pPr>
    </w:p>
    <w:p w:rsidR="0001090D" w:rsidRDefault="0001090D" w:rsidP="0001090D">
      <w:pPr>
        <w:pStyle w:val="NormalWeb"/>
        <w:rPr>
          <w:rFonts w:ascii="Arial" w:hAnsi="Arial" w:cs="Arial"/>
          <w:color w:val="000000"/>
          <w:sz w:val="20"/>
          <w:szCs w:val="20"/>
        </w:rPr>
      </w:pPr>
    </w:p>
    <w:p w:rsidR="0001090D" w:rsidRDefault="0001090D" w:rsidP="0001090D">
      <w:r>
        <w:t>More details can be referred to in the below link.</w:t>
      </w:r>
    </w:p>
    <w:p w:rsidR="0001090D" w:rsidRDefault="0001090D" w:rsidP="0001090D">
      <w:pPr>
        <w:pStyle w:val="NormalWeb"/>
        <w:rPr>
          <w:rFonts w:ascii="Arial" w:hAnsi="Arial" w:cs="Arial"/>
          <w:bCs/>
          <w:color w:val="000000"/>
          <w:sz w:val="20"/>
          <w:szCs w:val="20"/>
        </w:rPr>
      </w:pPr>
      <w:r>
        <w:rPr>
          <w:rFonts w:ascii="Arial" w:hAnsi="Arial" w:cs="Arial"/>
          <w:bCs/>
          <w:color w:val="000000"/>
          <w:sz w:val="20"/>
          <w:szCs w:val="20"/>
        </w:rPr>
        <w:t xml:space="preserve">Reference Link: </w:t>
      </w:r>
      <w:hyperlink r:id="rId87" w:history="1">
        <w:r w:rsidRPr="006865D6">
          <w:rPr>
            <w:rStyle w:val="Hyperlink"/>
            <w:rFonts w:ascii="Arial" w:hAnsi="Arial" w:cs="Arial"/>
            <w:bCs/>
            <w:sz w:val="20"/>
            <w:szCs w:val="20"/>
          </w:rPr>
          <w:t>https://www.rbi.org.in/scripts/NotificationUser.aspx?Id=12383&amp;Mode=0</w:t>
        </w:r>
      </w:hyperlink>
    </w:p>
    <w:p w:rsidR="0001090D" w:rsidRDefault="0001090D" w:rsidP="0001090D">
      <w:pPr>
        <w:rPr>
          <w:rFonts w:ascii="Arial" w:hAnsi="Arial" w:cs="Arial"/>
          <w:bCs/>
          <w:color w:val="000000"/>
          <w:sz w:val="20"/>
          <w:szCs w:val="20"/>
        </w:rPr>
      </w:pPr>
    </w:p>
    <w:p w:rsidR="0001090D" w:rsidRDefault="0001090D" w:rsidP="0001090D">
      <w:pPr>
        <w:rPr>
          <w:rFonts w:ascii="Arial" w:hAnsi="Arial" w:cs="Arial"/>
          <w:bCs/>
          <w:color w:val="000000"/>
          <w:sz w:val="20"/>
          <w:szCs w:val="20"/>
        </w:rPr>
      </w:pPr>
    </w:p>
    <w:p w:rsidR="0001090D" w:rsidRDefault="0001090D" w:rsidP="0001090D">
      <w:pPr>
        <w:rPr>
          <w:rFonts w:ascii="Arial" w:hAnsi="Arial" w:cs="Arial"/>
          <w:bCs/>
          <w:color w:val="000000"/>
          <w:sz w:val="20"/>
          <w:szCs w:val="20"/>
        </w:rPr>
      </w:pPr>
    </w:p>
    <w:p w:rsidR="0001090D" w:rsidRDefault="0001090D" w:rsidP="0001090D">
      <w:pPr>
        <w:rPr>
          <w:rFonts w:ascii="Arial" w:hAnsi="Arial" w:cs="Arial"/>
          <w:bCs/>
          <w:color w:val="000000"/>
          <w:sz w:val="20"/>
          <w:szCs w:val="20"/>
        </w:rPr>
      </w:pPr>
    </w:p>
    <w:p w:rsidR="0001090D" w:rsidRDefault="0001090D" w:rsidP="0001090D">
      <w:pPr>
        <w:rPr>
          <w:rFonts w:ascii="Arial" w:hAnsi="Arial" w:cs="Arial"/>
          <w:bCs/>
          <w:color w:val="000000"/>
          <w:sz w:val="20"/>
          <w:szCs w:val="20"/>
        </w:rPr>
      </w:pPr>
    </w:p>
    <w:p w:rsidR="0001090D" w:rsidRDefault="0001090D" w:rsidP="0001090D">
      <w:pPr>
        <w:rPr>
          <w:rFonts w:ascii="Arial" w:hAnsi="Arial" w:cs="Arial"/>
          <w:bCs/>
          <w:color w:val="000000"/>
          <w:sz w:val="20"/>
          <w:szCs w:val="20"/>
        </w:rPr>
      </w:pPr>
    </w:p>
    <w:p w:rsidR="0001090D" w:rsidRDefault="0001090D" w:rsidP="0001090D">
      <w:pPr>
        <w:rPr>
          <w:rFonts w:ascii="Arial" w:hAnsi="Arial" w:cs="Arial"/>
          <w:bCs/>
          <w:color w:val="000000"/>
          <w:sz w:val="20"/>
          <w:szCs w:val="20"/>
        </w:rPr>
      </w:pPr>
    </w:p>
    <w:p w:rsidR="0001090D" w:rsidRDefault="0001090D" w:rsidP="0001090D">
      <w:pPr>
        <w:rPr>
          <w:rFonts w:ascii="Arial" w:hAnsi="Arial" w:cs="Arial"/>
          <w:bCs/>
          <w:color w:val="000000"/>
          <w:sz w:val="20"/>
          <w:szCs w:val="20"/>
        </w:rPr>
      </w:pPr>
    </w:p>
    <w:p w:rsidR="0001090D" w:rsidRDefault="0001090D" w:rsidP="0001090D">
      <w:pPr>
        <w:rPr>
          <w:rFonts w:ascii="Arial" w:hAnsi="Arial" w:cs="Arial"/>
          <w:bCs/>
          <w:color w:val="000000"/>
          <w:sz w:val="20"/>
          <w:szCs w:val="20"/>
        </w:rPr>
      </w:pPr>
    </w:p>
    <w:p w:rsidR="0001090D" w:rsidRDefault="0001090D" w:rsidP="0001090D">
      <w:pPr>
        <w:rPr>
          <w:rFonts w:ascii="Arial" w:hAnsi="Arial" w:cs="Arial"/>
          <w:bCs/>
          <w:color w:val="000000"/>
          <w:sz w:val="20"/>
          <w:szCs w:val="20"/>
        </w:rPr>
      </w:pPr>
    </w:p>
    <w:p w:rsidR="0001090D" w:rsidRDefault="0001090D" w:rsidP="0001090D">
      <w:pPr>
        <w:rPr>
          <w:rFonts w:ascii="Arial" w:hAnsi="Arial" w:cs="Arial"/>
          <w:bCs/>
          <w:color w:val="000000"/>
          <w:sz w:val="20"/>
          <w:szCs w:val="20"/>
        </w:rPr>
      </w:pPr>
    </w:p>
    <w:p w:rsidR="0001090D" w:rsidRDefault="0001090D" w:rsidP="0001090D">
      <w:pPr>
        <w:rPr>
          <w:rFonts w:ascii="Arial" w:hAnsi="Arial" w:cs="Arial"/>
          <w:b/>
          <w:bCs/>
          <w:color w:val="000000"/>
          <w:sz w:val="20"/>
          <w:szCs w:val="20"/>
        </w:rPr>
      </w:pPr>
      <w:r>
        <w:rPr>
          <w:rFonts w:ascii="Arial" w:hAnsi="Arial" w:cs="Arial"/>
          <w:b/>
          <w:bCs/>
          <w:color w:val="000000"/>
          <w:sz w:val="20"/>
          <w:szCs w:val="20"/>
        </w:rPr>
        <w:t>Review of Prudential Norms – Risk Weights for Exposures guaranteed by Credit Guarantee Schemes (CGS)</w:t>
      </w:r>
    </w:p>
    <w:p w:rsidR="0001090D" w:rsidRDefault="0001090D" w:rsidP="0001090D">
      <w:pPr>
        <w:pStyle w:val="NormalWeb"/>
        <w:jc w:val="both"/>
        <w:rPr>
          <w:rFonts w:ascii="Arial" w:hAnsi="Arial" w:cs="Arial"/>
          <w:color w:val="000000"/>
          <w:sz w:val="20"/>
          <w:szCs w:val="20"/>
        </w:rPr>
      </w:pPr>
      <w:r>
        <w:rPr>
          <w:rFonts w:ascii="Arial" w:hAnsi="Arial" w:cs="Arial"/>
          <w:color w:val="000000"/>
          <w:sz w:val="20"/>
          <w:szCs w:val="20"/>
        </w:rPr>
        <w:t>RBI/2022-23/113</w:t>
      </w:r>
      <w:r>
        <w:rPr>
          <w:rFonts w:ascii="Arial" w:hAnsi="Arial" w:cs="Arial"/>
          <w:color w:val="000000"/>
          <w:sz w:val="20"/>
          <w:szCs w:val="20"/>
        </w:rPr>
        <w:br/>
        <w:t>DOR.STR.REC.67/21.06.201/2022-23</w:t>
      </w:r>
    </w:p>
    <w:p w:rsidR="0001090D" w:rsidRDefault="0001090D" w:rsidP="0001090D">
      <w:pPr>
        <w:pStyle w:val="NormalWeb"/>
        <w:jc w:val="right"/>
        <w:rPr>
          <w:rFonts w:ascii="Arial" w:hAnsi="Arial" w:cs="Arial"/>
          <w:color w:val="000000"/>
          <w:sz w:val="20"/>
          <w:szCs w:val="20"/>
        </w:rPr>
      </w:pPr>
      <w:r>
        <w:rPr>
          <w:rFonts w:ascii="Arial" w:hAnsi="Arial" w:cs="Arial"/>
          <w:color w:val="000000"/>
          <w:sz w:val="20"/>
          <w:szCs w:val="20"/>
        </w:rPr>
        <w:t>September 07, 2022</w:t>
      </w:r>
    </w:p>
    <w:p w:rsidR="0001090D" w:rsidRDefault="0001090D" w:rsidP="0001090D">
      <w:pPr>
        <w:pStyle w:val="NormalWeb"/>
        <w:rPr>
          <w:rFonts w:ascii="Arial" w:hAnsi="Arial" w:cs="Arial"/>
          <w:color w:val="000000"/>
          <w:sz w:val="20"/>
          <w:szCs w:val="20"/>
        </w:rPr>
      </w:pPr>
      <w:r>
        <w:rPr>
          <w:rFonts w:ascii="Arial" w:hAnsi="Arial" w:cs="Arial"/>
          <w:color w:val="000000"/>
          <w:sz w:val="20"/>
          <w:szCs w:val="20"/>
        </w:rPr>
        <w:t>All Scheduled Commercial Banks (including Regional Rural Banks)</w:t>
      </w:r>
      <w:r>
        <w:rPr>
          <w:rFonts w:ascii="Arial" w:hAnsi="Arial" w:cs="Arial"/>
          <w:color w:val="000000"/>
          <w:sz w:val="20"/>
          <w:szCs w:val="20"/>
        </w:rPr>
        <w:br/>
        <w:t>All Primary (Urban) Co-operative Banks</w:t>
      </w:r>
      <w:r>
        <w:rPr>
          <w:rFonts w:ascii="Arial" w:hAnsi="Arial" w:cs="Arial"/>
          <w:color w:val="000000"/>
          <w:sz w:val="20"/>
          <w:szCs w:val="20"/>
        </w:rPr>
        <w:br/>
        <w:t>All Non-Banking Financial Companies (including Housing Finance Companies)</w:t>
      </w:r>
      <w:r>
        <w:rPr>
          <w:rFonts w:ascii="Arial" w:hAnsi="Arial" w:cs="Arial"/>
          <w:color w:val="000000"/>
          <w:sz w:val="20"/>
          <w:szCs w:val="20"/>
        </w:rPr>
        <w:br/>
        <w:t>All All-India Financial Institutions</w:t>
      </w:r>
    </w:p>
    <w:p w:rsidR="0001090D" w:rsidRDefault="0001090D" w:rsidP="0001090D">
      <w:pPr>
        <w:pStyle w:val="NormalWeb"/>
        <w:jc w:val="both"/>
        <w:rPr>
          <w:rFonts w:ascii="Arial" w:hAnsi="Arial" w:cs="Arial"/>
          <w:color w:val="000000"/>
          <w:sz w:val="20"/>
          <w:szCs w:val="20"/>
        </w:rPr>
      </w:pPr>
      <w:r>
        <w:rPr>
          <w:rFonts w:ascii="Arial" w:hAnsi="Arial" w:cs="Arial"/>
          <w:color w:val="000000"/>
          <w:sz w:val="20"/>
          <w:szCs w:val="20"/>
        </w:rPr>
        <w:t>Dear Sir/Madam,</w:t>
      </w:r>
    </w:p>
    <w:p w:rsidR="0001090D" w:rsidRDefault="0001090D" w:rsidP="0001090D">
      <w:pPr>
        <w:pStyle w:val="head"/>
        <w:jc w:val="both"/>
        <w:rPr>
          <w:rFonts w:ascii="Arial" w:hAnsi="Arial" w:cs="Arial"/>
          <w:b/>
          <w:bCs/>
          <w:color w:val="000000"/>
          <w:sz w:val="20"/>
          <w:szCs w:val="20"/>
        </w:rPr>
      </w:pPr>
      <w:r>
        <w:rPr>
          <w:rFonts w:ascii="Arial" w:hAnsi="Arial" w:cs="Arial"/>
          <w:b/>
          <w:bCs/>
          <w:color w:val="000000"/>
          <w:sz w:val="20"/>
          <w:szCs w:val="20"/>
        </w:rPr>
        <w:t>Review of Prudential Norms – Risk Weights for Exposures guaranteed by Credit Guarantee Schemes (CGS)</w:t>
      </w:r>
    </w:p>
    <w:p w:rsidR="0001090D" w:rsidRDefault="0001090D" w:rsidP="0001090D">
      <w:pPr>
        <w:pStyle w:val="NormalWeb"/>
        <w:jc w:val="both"/>
        <w:rPr>
          <w:rFonts w:ascii="Arial" w:hAnsi="Arial" w:cs="Arial"/>
          <w:color w:val="000000"/>
          <w:sz w:val="20"/>
          <w:szCs w:val="20"/>
        </w:rPr>
      </w:pPr>
      <w:r>
        <w:rPr>
          <w:rFonts w:ascii="Arial" w:hAnsi="Arial" w:cs="Arial"/>
          <w:color w:val="000000"/>
          <w:sz w:val="20"/>
          <w:szCs w:val="20"/>
        </w:rPr>
        <w:t>Please refer to paragraph 5.2 of the </w:t>
      </w:r>
      <w:hyperlink r:id="rId88" w:tgtFrame="_blank" w:history="1">
        <w:r>
          <w:rPr>
            <w:rStyle w:val="Hyperlink"/>
            <w:rFonts w:ascii="Arial" w:hAnsi="Arial" w:cs="Arial"/>
            <w:sz w:val="20"/>
            <w:szCs w:val="20"/>
          </w:rPr>
          <w:t>Master Circular on Basel III Capital Regulations dated April 1, 2022</w:t>
        </w:r>
      </w:hyperlink>
      <w:r>
        <w:rPr>
          <w:rFonts w:ascii="Arial" w:hAnsi="Arial" w:cs="Arial"/>
          <w:color w:val="000000"/>
          <w:sz w:val="20"/>
          <w:szCs w:val="20"/>
        </w:rPr>
        <w:t> in terms of which banks are permitted to apply zero percent risk weights in respect of claims on Credit Guarantee Fund Trust for Micro and Small Enterprises (CGTMSE), Credit Risk Guarantee Fund Trust for Low Income Housing (CRGFTLIH) and individual schemes under National Credit Guarantee Trustee Company Ltd (NCGTC).</w:t>
      </w:r>
    </w:p>
    <w:p w:rsidR="0001090D" w:rsidRDefault="0001090D" w:rsidP="0001090D">
      <w:pPr>
        <w:pStyle w:val="NormalWeb"/>
        <w:jc w:val="both"/>
        <w:rPr>
          <w:rFonts w:ascii="Arial" w:hAnsi="Arial" w:cs="Arial"/>
          <w:color w:val="000000"/>
          <w:sz w:val="20"/>
          <w:szCs w:val="20"/>
        </w:rPr>
      </w:pPr>
      <w:r>
        <w:rPr>
          <w:rFonts w:ascii="Arial" w:hAnsi="Arial" w:cs="Arial"/>
          <w:color w:val="000000"/>
          <w:sz w:val="20"/>
          <w:szCs w:val="20"/>
        </w:rPr>
        <w:t>2. In order to have a consistent approach with regard to risk weights for exposures guaranteed by such Trust Funds, it is advised that the risk weight of zero percent shall be applicable in respect of exposures guaranteed under any existing or future schemes launched by CGTMSE, CRGFTLIH and NCGTC satisfying the following conditions:</w:t>
      </w:r>
    </w:p>
    <w:p w:rsidR="0001090D" w:rsidRDefault="0001090D" w:rsidP="00DA1141">
      <w:pPr>
        <w:pStyle w:val="NormalWeb"/>
        <w:numPr>
          <w:ilvl w:val="0"/>
          <w:numId w:val="12"/>
        </w:numPr>
        <w:ind w:left="0"/>
        <w:jc w:val="both"/>
        <w:rPr>
          <w:rFonts w:ascii="Arial" w:hAnsi="Arial" w:cs="Arial"/>
          <w:color w:val="000000"/>
          <w:sz w:val="20"/>
          <w:szCs w:val="20"/>
        </w:rPr>
      </w:pPr>
      <w:r>
        <w:rPr>
          <w:rStyle w:val="head1"/>
          <w:rFonts w:ascii="Arial" w:hAnsi="Arial" w:cs="Arial"/>
          <w:b/>
          <w:bCs/>
          <w:color w:val="000000"/>
          <w:sz w:val="20"/>
          <w:szCs w:val="20"/>
        </w:rPr>
        <w:t>Prudential Aspects:</w:t>
      </w:r>
      <w:r>
        <w:rPr>
          <w:rFonts w:ascii="Arial" w:hAnsi="Arial" w:cs="Arial"/>
          <w:color w:val="000000"/>
          <w:sz w:val="20"/>
          <w:szCs w:val="20"/>
        </w:rPr>
        <w:t> The guarantees provided under the respective schemes should comply with the requirements for credit risk mitigation in terms of paragraph 7.5 of the </w:t>
      </w:r>
      <w:hyperlink r:id="rId89" w:tgtFrame="_blank" w:history="1">
        <w:r>
          <w:rPr>
            <w:rStyle w:val="Hyperlink"/>
            <w:rFonts w:ascii="Arial" w:hAnsi="Arial" w:cs="Arial"/>
            <w:sz w:val="20"/>
            <w:szCs w:val="20"/>
          </w:rPr>
          <w:t>Master Circular on Basel III Capital Regulations dated April 1, 2022</w:t>
        </w:r>
      </w:hyperlink>
      <w:r>
        <w:rPr>
          <w:rFonts w:ascii="Arial" w:hAnsi="Arial" w:cs="Arial"/>
          <w:color w:val="000000"/>
          <w:sz w:val="20"/>
          <w:szCs w:val="20"/>
        </w:rPr>
        <w:t> which inter alia requires such guarantees to be direct, explicit, irrevocable and unconditional;</w:t>
      </w:r>
    </w:p>
    <w:p w:rsidR="0001090D" w:rsidRDefault="0001090D" w:rsidP="00DA1141">
      <w:pPr>
        <w:pStyle w:val="NormalWeb"/>
        <w:numPr>
          <w:ilvl w:val="0"/>
          <w:numId w:val="12"/>
        </w:numPr>
        <w:ind w:left="0"/>
        <w:jc w:val="both"/>
        <w:rPr>
          <w:rFonts w:ascii="Arial" w:hAnsi="Arial" w:cs="Arial"/>
          <w:color w:val="000000"/>
          <w:sz w:val="20"/>
          <w:szCs w:val="20"/>
        </w:rPr>
      </w:pPr>
      <w:r>
        <w:rPr>
          <w:rStyle w:val="head1"/>
          <w:rFonts w:ascii="Arial" w:hAnsi="Arial" w:cs="Arial"/>
          <w:b/>
          <w:bCs/>
          <w:color w:val="000000"/>
          <w:sz w:val="20"/>
          <w:szCs w:val="20"/>
        </w:rPr>
        <w:t>Restrictions on permissible claims:</w:t>
      </w:r>
      <w:r>
        <w:rPr>
          <w:rFonts w:ascii="Arial" w:hAnsi="Arial" w:cs="Arial"/>
          <w:color w:val="000000"/>
          <w:sz w:val="20"/>
          <w:szCs w:val="20"/>
        </w:rPr>
        <w:t xml:space="preserve"> Where the terms of the guarantee schemes restrict the maximum permissible claims through features like specified extent of guarantee coverage, clause on first loss absorption by member lending institutions (MLI), </w:t>
      </w:r>
      <w:proofErr w:type="spellStart"/>
      <w:r>
        <w:rPr>
          <w:rFonts w:ascii="Arial" w:hAnsi="Arial" w:cs="Arial"/>
          <w:color w:val="000000"/>
          <w:sz w:val="20"/>
          <w:szCs w:val="20"/>
        </w:rPr>
        <w:t>payout</w:t>
      </w:r>
      <w:proofErr w:type="spellEnd"/>
      <w:r>
        <w:rPr>
          <w:rFonts w:ascii="Arial" w:hAnsi="Arial" w:cs="Arial"/>
          <w:color w:val="000000"/>
          <w:sz w:val="20"/>
          <w:szCs w:val="20"/>
        </w:rPr>
        <w:t xml:space="preserve"> cap, etc., the zero percent risk weight shall be restricted to the maximum permissible claim and the residual exposure shall be subjected to risk weight as applicable to the counterparty in terms of extant regulations.</w:t>
      </w:r>
    </w:p>
    <w:p w:rsidR="0001090D" w:rsidRDefault="0001090D" w:rsidP="00DA1141">
      <w:pPr>
        <w:pStyle w:val="NormalWeb"/>
        <w:numPr>
          <w:ilvl w:val="0"/>
          <w:numId w:val="12"/>
        </w:numPr>
        <w:ind w:left="0"/>
        <w:jc w:val="both"/>
        <w:rPr>
          <w:rFonts w:ascii="Arial" w:hAnsi="Arial" w:cs="Arial"/>
          <w:color w:val="000000"/>
          <w:sz w:val="20"/>
          <w:szCs w:val="20"/>
        </w:rPr>
      </w:pPr>
      <w:r>
        <w:rPr>
          <w:rFonts w:ascii="Arial" w:hAnsi="Arial" w:cs="Arial"/>
          <w:color w:val="000000"/>
          <w:sz w:val="20"/>
          <w:szCs w:val="20"/>
        </w:rPr>
        <w:t>In case of a portfolio-level guarantee, effective from April 1, 2023, the extent of exposure subjected to first loss absorption by the MLI, if any, shall be subjected to full capital deduction and the residual exposure shall be subjected to risk weight as applicable to the counterparty in terms of extant regulations, on a pro rata basis. The maximum capital charge shall be capped at a notional level arrived at by treating the entire exposure as unguaranteed.</w:t>
      </w:r>
    </w:p>
    <w:p w:rsidR="0001090D" w:rsidRDefault="0001090D" w:rsidP="0001090D">
      <w:pPr>
        <w:pStyle w:val="NormalWeb"/>
        <w:jc w:val="both"/>
        <w:rPr>
          <w:rFonts w:ascii="Arial" w:hAnsi="Arial" w:cs="Arial"/>
          <w:color w:val="000000"/>
          <w:sz w:val="20"/>
          <w:szCs w:val="20"/>
        </w:rPr>
      </w:pPr>
      <w:r>
        <w:rPr>
          <w:rFonts w:ascii="Arial" w:hAnsi="Arial" w:cs="Arial"/>
          <w:color w:val="000000"/>
          <w:sz w:val="20"/>
          <w:szCs w:val="20"/>
        </w:rPr>
        <w:t>Yours faithfully,</w:t>
      </w:r>
    </w:p>
    <w:p w:rsidR="0001090D" w:rsidRDefault="0001090D" w:rsidP="0001090D">
      <w:pPr>
        <w:pStyle w:val="NormalWeb"/>
        <w:rPr>
          <w:rFonts w:ascii="Arial" w:hAnsi="Arial" w:cs="Arial"/>
          <w:color w:val="000000"/>
          <w:sz w:val="20"/>
          <w:szCs w:val="20"/>
        </w:rPr>
      </w:pPr>
      <w:r>
        <w:rPr>
          <w:rFonts w:ascii="Arial" w:hAnsi="Arial" w:cs="Arial"/>
          <w:color w:val="000000"/>
          <w:sz w:val="20"/>
          <w:szCs w:val="20"/>
        </w:rPr>
        <w:t>(</w:t>
      </w:r>
      <w:proofErr w:type="spellStart"/>
      <w:r>
        <w:rPr>
          <w:rFonts w:ascii="Arial" w:hAnsi="Arial" w:cs="Arial"/>
          <w:color w:val="000000"/>
          <w:sz w:val="20"/>
          <w:szCs w:val="20"/>
        </w:rPr>
        <w:t>Manoranjan</w:t>
      </w:r>
      <w:proofErr w:type="spellEnd"/>
      <w:r>
        <w:rPr>
          <w:rFonts w:ascii="Arial" w:hAnsi="Arial" w:cs="Arial"/>
          <w:color w:val="000000"/>
          <w:sz w:val="20"/>
          <w:szCs w:val="20"/>
        </w:rPr>
        <w:t xml:space="preserve"> Mishra)</w:t>
      </w:r>
      <w:r>
        <w:rPr>
          <w:rFonts w:ascii="Arial" w:hAnsi="Arial" w:cs="Arial"/>
          <w:color w:val="000000"/>
          <w:sz w:val="20"/>
          <w:szCs w:val="20"/>
        </w:rPr>
        <w:br/>
        <w:t>Chief General Manager</w:t>
      </w:r>
    </w:p>
    <w:p w:rsidR="0001090D" w:rsidRDefault="0001090D" w:rsidP="0001090D">
      <w:pPr>
        <w:rPr>
          <w:rFonts w:ascii="Arial" w:hAnsi="Arial" w:cs="Arial"/>
          <w:sz w:val="20"/>
          <w:szCs w:val="20"/>
        </w:rPr>
      </w:pPr>
    </w:p>
    <w:p w:rsidR="0001090D" w:rsidRDefault="0001090D" w:rsidP="0001090D">
      <w:pPr>
        <w:rPr>
          <w:rFonts w:ascii="Arial" w:hAnsi="Arial" w:cs="Arial"/>
          <w:sz w:val="20"/>
          <w:szCs w:val="20"/>
        </w:rPr>
      </w:pPr>
    </w:p>
    <w:p w:rsidR="0001090D" w:rsidRDefault="0001090D" w:rsidP="0001090D">
      <w:r>
        <w:t>More details can be referred to in the below link.</w:t>
      </w:r>
    </w:p>
    <w:p w:rsidR="0001090D" w:rsidRDefault="0001090D" w:rsidP="0001090D">
      <w:pPr>
        <w:rPr>
          <w:rFonts w:ascii="Arial" w:hAnsi="Arial" w:cs="Arial"/>
          <w:bCs/>
          <w:color w:val="000000"/>
          <w:sz w:val="20"/>
          <w:szCs w:val="20"/>
        </w:rPr>
      </w:pPr>
      <w:r>
        <w:rPr>
          <w:rFonts w:ascii="Arial" w:hAnsi="Arial" w:cs="Arial"/>
          <w:bCs/>
          <w:color w:val="000000"/>
          <w:sz w:val="20"/>
          <w:szCs w:val="20"/>
        </w:rPr>
        <w:lastRenderedPageBreak/>
        <w:t xml:space="preserve">Reference Link: </w:t>
      </w:r>
      <w:hyperlink r:id="rId90" w:history="1">
        <w:r w:rsidRPr="00B27270">
          <w:rPr>
            <w:rStyle w:val="Hyperlink"/>
            <w:rFonts w:ascii="Arial" w:hAnsi="Arial" w:cs="Arial"/>
            <w:bCs/>
            <w:sz w:val="20"/>
            <w:szCs w:val="20"/>
          </w:rPr>
          <w:t>https://m.rbi.org.in/scripts/FS_Notification.aspx?Id=12384&amp;fn=2&amp;Mode=0</w:t>
        </w:r>
      </w:hyperlink>
    </w:p>
    <w:p w:rsidR="0001090D" w:rsidRDefault="0001090D" w:rsidP="0001090D">
      <w:pPr>
        <w:rPr>
          <w:rFonts w:ascii="Arial" w:hAnsi="Arial" w:cs="Arial"/>
          <w:bCs/>
          <w:color w:val="000000"/>
          <w:sz w:val="20"/>
          <w:szCs w:val="20"/>
        </w:rPr>
      </w:pPr>
    </w:p>
    <w:p w:rsidR="0001090D" w:rsidRPr="00147837" w:rsidRDefault="0001090D" w:rsidP="0001090D">
      <w:pPr>
        <w:rPr>
          <w:rFonts w:ascii="Arial" w:hAnsi="Arial" w:cs="Arial"/>
          <w:b/>
          <w:bCs/>
          <w:color w:val="000000"/>
          <w:sz w:val="20"/>
          <w:szCs w:val="20"/>
        </w:rPr>
      </w:pPr>
      <w:r w:rsidRPr="00147837">
        <w:rPr>
          <w:rFonts w:ascii="Arial" w:hAnsi="Arial" w:cs="Arial"/>
          <w:b/>
          <w:bCs/>
          <w:color w:val="000000"/>
          <w:sz w:val="20"/>
          <w:szCs w:val="20"/>
        </w:rPr>
        <w:t>Rupee Drawing Arrangement - Enabling Bharat Bill Payment System (BBPS) to process cross-border inbound Bill Payments</w:t>
      </w:r>
    </w:p>
    <w:p w:rsidR="0001090D" w:rsidRPr="00147837" w:rsidRDefault="0001090D" w:rsidP="0001090D">
      <w:pPr>
        <w:pStyle w:val="NormalWeb"/>
        <w:rPr>
          <w:rFonts w:ascii="Arial" w:hAnsi="Arial" w:cs="Arial"/>
          <w:sz w:val="20"/>
          <w:szCs w:val="20"/>
        </w:rPr>
      </w:pPr>
      <w:r w:rsidRPr="00147837">
        <w:rPr>
          <w:rFonts w:ascii="Arial" w:hAnsi="Arial" w:cs="Arial"/>
          <w:sz w:val="20"/>
          <w:szCs w:val="20"/>
        </w:rPr>
        <w:t>RBI/2022-23/115</w:t>
      </w:r>
      <w:r w:rsidRPr="00147837">
        <w:rPr>
          <w:rFonts w:ascii="Arial" w:hAnsi="Arial" w:cs="Arial"/>
          <w:sz w:val="20"/>
          <w:szCs w:val="20"/>
        </w:rPr>
        <w:br/>
        <w:t>A.P. (DIR Series) Circular No. 14</w:t>
      </w:r>
    </w:p>
    <w:p w:rsidR="0001090D" w:rsidRPr="00147837" w:rsidRDefault="0001090D" w:rsidP="0001090D">
      <w:pPr>
        <w:pStyle w:val="NormalWeb"/>
        <w:jc w:val="right"/>
        <w:rPr>
          <w:rFonts w:ascii="Arial" w:hAnsi="Arial" w:cs="Arial"/>
          <w:sz w:val="20"/>
          <w:szCs w:val="20"/>
        </w:rPr>
      </w:pPr>
      <w:r w:rsidRPr="00147837">
        <w:rPr>
          <w:rFonts w:ascii="Arial" w:hAnsi="Arial" w:cs="Arial"/>
          <w:sz w:val="20"/>
          <w:szCs w:val="20"/>
        </w:rPr>
        <w:t>September 15, 2022</w:t>
      </w:r>
    </w:p>
    <w:p w:rsidR="0001090D" w:rsidRPr="00147837" w:rsidRDefault="0001090D" w:rsidP="0001090D">
      <w:pPr>
        <w:pStyle w:val="NormalWeb"/>
        <w:rPr>
          <w:rFonts w:ascii="Arial" w:hAnsi="Arial" w:cs="Arial"/>
          <w:sz w:val="20"/>
          <w:szCs w:val="20"/>
        </w:rPr>
      </w:pPr>
      <w:r w:rsidRPr="00147837">
        <w:rPr>
          <w:rFonts w:ascii="Arial" w:hAnsi="Arial" w:cs="Arial"/>
          <w:sz w:val="20"/>
          <w:szCs w:val="20"/>
        </w:rPr>
        <w:t>To</w:t>
      </w:r>
      <w:r w:rsidRPr="00147837">
        <w:rPr>
          <w:rFonts w:ascii="Arial" w:hAnsi="Arial" w:cs="Arial"/>
          <w:sz w:val="20"/>
          <w:szCs w:val="20"/>
        </w:rPr>
        <w:br/>
        <w:t>All Category-I Authorised Dealer Banks</w:t>
      </w:r>
    </w:p>
    <w:p w:rsidR="0001090D" w:rsidRPr="00147837" w:rsidRDefault="0001090D" w:rsidP="0001090D">
      <w:pPr>
        <w:pStyle w:val="NormalWeb"/>
        <w:rPr>
          <w:rFonts w:ascii="Arial" w:hAnsi="Arial" w:cs="Arial"/>
          <w:sz w:val="20"/>
          <w:szCs w:val="20"/>
        </w:rPr>
      </w:pPr>
      <w:r w:rsidRPr="00147837">
        <w:rPr>
          <w:rFonts w:ascii="Arial" w:hAnsi="Arial" w:cs="Arial"/>
          <w:sz w:val="20"/>
          <w:szCs w:val="20"/>
        </w:rPr>
        <w:t>Madam/Sir,</w:t>
      </w:r>
    </w:p>
    <w:p w:rsidR="0001090D" w:rsidRPr="00147837" w:rsidRDefault="0001090D" w:rsidP="0001090D">
      <w:pPr>
        <w:pStyle w:val="head"/>
        <w:jc w:val="center"/>
        <w:rPr>
          <w:rFonts w:ascii="Arial" w:hAnsi="Arial" w:cs="Arial"/>
          <w:b/>
          <w:bCs/>
          <w:sz w:val="20"/>
          <w:szCs w:val="20"/>
        </w:rPr>
      </w:pPr>
      <w:r w:rsidRPr="00147837">
        <w:rPr>
          <w:rFonts w:ascii="Arial" w:hAnsi="Arial" w:cs="Arial"/>
          <w:b/>
          <w:bCs/>
          <w:sz w:val="20"/>
          <w:szCs w:val="20"/>
        </w:rPr>
        <w:t>Rupee Drawing Arrangement - Enabling Bharat Bill Payment System (BBPS) to process</w:t>
      </w:r>
      <w:r w:rsidRPr="00147837">
        <w:rPr>
          <w:rFonts w:ascii="Arial" w:hAnsi="Arial" w:cs="Arial"/>
          <w:b/>
          <w:bCs/>
          <w:sz w:val="20"/>
          <w:szCs w:val="20"/>
        </w:rPr>
        <w:br/>
        <w:t>cross-border inbound Bill Payments</w:t>
      </w:r>
    </w:p>
    <w:p w:rsidR="0001090D" w:rsidRPr="00147837" w:rsidRDefault="0001090D" w:rsidP="0001090D">
      <w:pPr>
        <w:pStyle w:val="NormalWeb"/>
        <w:rPr>
          <w:rFonts w:ascii="Arial" w:hAnsi="Arial" w:cs="Arial"/>
          <w:sz w:val="20"/>
          <w:szCs w:val="20"/>
        </w:rPr>
      </w:pPr>
      <w:r w:rsidRPr="00147837">
        <w:rPr>
          <w:rFonts w:ascii="Arial" w:hAnsi="Arial" w:cs="Arial"/>
          <w:sz w:val="20"/>
          <w:szCs w:val="20"/>
        </w:rPr>
        <w:t>Please refer to </w:t>
      </w:r>
      <w:hyperlink r:id="rId91" w:tgtFrame="_blank" w:history="1">
        <w:r w:rsidRPr="00147837">
          <w:rPr>
            <w:rStyle w:val="Hyperlink"/>
            <w:rFonts w:ascii="Arial" w:hAnsi="Arial" w:cs="Arial"/>
            <w:sz w:val="20"/>
            <w:szCs w:val="20"/>
          </w:rPr>
          <w:t>A.P. (DIR Series) Circular No. 120 dated April 10, 2014</w:t>
        </w:r>
      </w:hyperlink>
      <w:r w:rsidRPr="00147837">
        <w:rPr>
          <w:rFonts w:ascii="Arial" w:hAnsi="Arial" w:cs="Arial"/>
          <w:sz w:val="20"/>
          <w:szCs w:val="20"/>
        </w:rPr>
        <w:t> on ‘Rupee Drawing Arrangement – Direct to Account Facility’, in terms of which, foreign inward remittances received under Rupee Drawing Arrangement (RDA) can be transferred to the KYC compliant beneficiary bank accounts through electronic mode, such as, NEFT, IMPS, etc. subject to the procedure and conditions mentioned therein.</w:t>
      </w:r>
    </w:p>
    <w:p w:rsidR="0001090D" w:rsidRPr="00147837" w:rsidRDefault="0001090D" w:rsidP="0001090D">
      <w:pPr>
        <w:pStyle w:val="NormalWeb"/>
        <w:rPr>
          <w:rFonts w:ascii="Arial" w:hAnsi="Arial" w:cs="Arial"/>
          <w:sz w:val="20"/>
          <w:szCs w:val="20"/>
        </w:rPr>
      </w:pPr>
      <w:r w:rsidRPr="00147837">
        <w:rPr>
          <w:rFonts w:ascii="Arial" w:hAnsi="Arial" w:cs="Arial"/>
          <w:sz w:val="20"/>
          <w:szCs w:val="20"/>
        </w:rPr>
        <w:t>2. As announced in Para 6 of the </w:t>
      </w:r>
      <w:hyperlink r:id="rId92" w:tgtFrame="_blank" w:history="1">
        <w:r w:rsidRPr="00147837">
          <w:rPr>
            <w:rStyle w:val="Hyperlink"/>
            <w:rFonts w:ascii="Arial" w:hAnsi="Arial" w:cs="Arial"/>
            <w:sz w:val="20"/>
            <w:szCs w:val="20"/>
          </w:rPr>
          <w:t>Statement on Developmental and Regulatory Policies issued on August 05, 2022</w:t>
        </w:r>
      </w:hyperlink>
      <w:r w:rsidRPr="00147837">
        <w:rPr>
          <w:rFonts w:ascii="Arial" w:hAnsi="Arial" w:cs="Arial"/>
          <w:sz w:val="20"/>
          <w:szCs w:val="20"/>
        </w:rPr>
        <w:t>, it has been decided to allow foreign inward remittances received under the Rupee Drawing Arrangement (RDA), to be transferred to the KYC compliant bank account of the biller (beneficiary) through Bharat Bill Payment System (BBPS), subject to the conditions mentioned in Para 3 of </w:t>
      </w:r>
      <w:hyperlink r:id="rId93" w:tgtFrame="_blank" w:history="1">
        <w:r w:rsidRPr="00147837">
          <w:rPr>
            <w:rStyle w:val="Hyperlink"/>
            <w:rFonts w:ascii="Arial" w:hAnsi="Arial" w:cs="Arial"/>
            <w:sz w:val="20"/>
            <w:szCs w:val="20"/>
          </w:rPr>
          <w:t>A.P. (DIR Series) Circular No.120 dated April 10, 2014</w:t>
        </w:r>
      </w:hyperlink>
      <w:r w:rsidRPr="00147837">
        <w:rPr>
          <w:rFonts w:ascii="Arial" w:hAnsi="Arial" w:cs="Arial"/>
          <w:sz w:val="20"/>
          <w:szCs w:val="20"/>
        </w:rPr>
        <w:t>.</w:t>
      </w:r>
    </w:p>
    <w:p w:rsidR="0001090D" w:rsidRPr="00147837" w:rsidRDefault="0001090D" w:rsidP="0001090D">
      <w:pPr>
        <w:pStyle w:val="NormalWeb"/>
        <w:rPr>
          <w:rFonts w:ascii="Arial" w:hAnsi="Arial" w:cs="Arial"/>
          <w:sz w:val="20"/>
          <w:szCs w:val="20"/>
        </w:rPr>
      </w:pPr>
      <w:r w:rsidRPr="00147837">
        <w:rPr>
          <w:rFonts w:ascii="Arial" w:hAnsi="Arial" w:cs="Arial"/>
          <w:sz w:val="20"/>
          <w:szCs w:val="20"/>
        </w:rPr>
        <w:t>3. AD Cat-I Banks may bring the contents of this circular to the notice of their constituents concerned.</w:t>
      </w:r>
    </w:p>
    <w:p w:rsidR="0001090D" w:rsidRPr="00147837" w:rsidRDefault="0001090D" w:rsidP="0001090D">
      <w:pPr>
        <w:pStyle w:val="NormalWeb"/>
        <w:rPr>
          <w:rFonts w:ascii="Arial" w:hAnsi="Arial" w:cs="Arial"/>
          <w:sz w:val="20"/>
          <w:szCs w:val="20"/>
        </w:rPr>
      </w:pPr>
      <w:r w:rsidRPr="00147837">
        <w:rPr>
          <w:rFonts w:ascii="Arial" w:hAnsi="Arial" w:cs="Arial"/>
          <w:sz w:val="20"/>
          <w:szCs w:val="20"/>
        </w:rPr>
        <w:t>4. The directions contained in this circular have been issued under Section 10(4) and Section 11(1) of the Foreign Exchange Management Act, 1999 (42 of 1999) and are without prejudice to permissions/approvals, if any, required under any other law.</w:t>
      </w:r>
    </w:p>
    <w:p w:rsidR="0001090D" w:rsidRPr="00147837" w:rsidRDefault="0001090D" w:rsidP="0001090D">
      <w:pPr>
        <w:pStyle w:val="NormalWeb"/>
        <w:spacing w:after="0" w:afterAutospacing="0"/>
        <w:rPr>
          <w:rFonts w:ascii="Arial" w:hAnsi="Arial" w:cs="Arial"/>
          <w:sz w:val="20"/>
          <w:szCs w:val="20"/>
        </w:rPr>
      </w:pPr>
      <w:r w:rsidRPr="00147837">
        <w:rPr>
          <w:rFonts w:ascii="Arial" w:hAnsi="Arial" w:cs="Arial"/>
          <w:sz w:val="20"/>
          <w:szCs w:val="20"/>
        </w:rPr>
        <w:t>Yours faithfully,</w:t>
      </w:r>
    </w:p>
    <w:p w:rsidR="0001090D" w:rsidRPr="009F305B" w:rsidRDefault="0001090D" w:rsidP="0001090D">
      <w:pPr>
        <w:pStyle w:val="NormalWeb"/>
        <w:spacing w:before="0" w:beforeAutospacing="0"/>
        <w:rPr>
          <w:rFonts w:ascii="Arial" w:hAnsi="Arial" w:cs="Arial"/>
          <w:sz w:val="20"/>
          <w:szCs w:val="20"/>
        </w:rPr>
      </w:pPr>
      <w:r w:rsidRPr="00147837">
        <w:rPr>
          <w:rFonts w:ascii="Arial" w:hAnsi="Arial" w:cs="Arial"/>
          <w:sz w:val="20"/>
          <w:szCs w:val="20"/>
        </w:rPr>
        <w:t>(Vivek Srivastava)</w:t>
      </w:r>
      <w:r w:rsidRPr="00147837">
        <w:rPr>
          <w:rFonts w:ascii="Arial" w:hAnsi="Arial" w:cs="Arial"/>
          <w:sz w:val="20"/>
          <w:szCs w:val="20"/>
        </w:rPr>
        <w:br/>
        <w:t>Chief General Manager</w:t>
      </w:r>
    </w:p>
    <w:p w:rsidR="0001090D" w:rsidRDefault="0001090D" w:rsidP="0001090D"/>
    <w:p w:rsidR="0001090D" w:rsidRDefault="0001090D" w:rsidP="0001090D"/>
    <w:p w:rsidR="0001090D" w:rsidRPr="00435B25" w:rsidRDefault="0001090D" w:rsidP="0001090D">
      <w:pPr>
        <w:spacing w:after="0"/>
        <w:rPr>
          <w:rFonts w:ascii="Arial" w:hAnsi="Arial" w:cs="Arial"/>
          <w:sz w:val="20"/>
          <w:szCs w:val="20"/>
        </w:rPr>
      </w:pPr>
      <w:r w:rsidRPr="00435B25">
        <w:rPr>
          <w:rFonts w:ascii="Arial" w:hAnsi="Arial" w:cs="Arial"/>
          <w:sz w:val="20"/>
          <w:szCs w:val="20"/>
        </w:rPr>
        <w:t>More details can be referred to in the below link.</w:t>
      </w:r>
    </w:p>
    <w:p w:rsidR="0001090D" w:rsidRDefault="0001090D" w:rsidP="0001090D">
      <w:pPr>
        <w:spacing w:after="0"/>
        <w:rPr>
          <w:rFonts w:ascii="Arial" w:hAnsi="Arial" w:cs="Arial"/>
          <w:sz w:val="20"/>
          <w:szCs w:val="20"/>
        </w:rPr>
      </w:pPr>
      <w:r w:rsidRPr="00435B25">
        <w:rPr>
          <w:rFonts w:ascii="Arial" w:hAnsi="Arial" w:cs="Arial"/>
          <w:sz w:val="20"/>
          <w:szCs w:val="20"/>
        </w:rPr>
        <w:t>Reference Link:</w:t>
      </w:r>
      <w:r>
        <w:rPr>
          <w:rFonts w:ascii="Arial" w:hAnsi="Arial" w:cs="Arial"/>
          <w:sz w:val="20"/>
          <w:szCs w:val="20"/>
        </w:rPr>
        <w:t xml:space="preserve"> </w:t>
      </w:r>
      <w:hyperlink r:id="rId94" w:history="1">
        <w:r w:rsidRPr="00200311">
          <w:rPr>
            <w:rStyle w:val="Hyperlink"/>
            <w:rFonts w:ascii="Arial" w:hAnsi="Arial" w:cs="Arial"/>
            <w:sz w:val="20"/>
            <w:szCs w:val="20"/>
          </w:rPr>
          <w:t>https://www.rbi.org.in/scripts/NotificationUser.aspx?Id=12386&amp;Mode=0</w:t>
        </w:r>
      </w:hyperlink>
    </w:p>
    <w:p w:rsidR="0001090D" w:rsidRDefault="0001090D" w:rsidP="0001090D">
      <w:pPr>
        <w:spacing w:after="0"/>
        <w:rPr>
          <w:rFonts w:ascii="Arial" w:hAnsi="Arial" w:cs="Arial"/>
          <w:sz w:val="20"/>
          <w:szCs w:val="20"/>
        </w:rPr>
      </w:pPr>
    </w:p>
    <w:p w:rsidR="0001090D" w:rsidRDefault="0001090D" w:rsidP="0001090D">
      <w:pPr>
        <w:spacing w:after="0"/>
        <w:rPr>
          <w:rFonts w:ascii="Arial" w:hAnsi="Arial" w:cs="Arial"/>
          <w:sz w:val="20"/>
          <w:szCs w:val="20"/>
        </w:rPr>
      </w:pPr>
    </w:p>
    <w:p w:rsidR="0001090D" w:rsidRDefault="0001090D" w:rsidP="0001090D">
      <w:pPr>
        <w:spacing w:after="0"/>
        <w:rPr>
          <w:rFonts w:ascii="Arial" w:hAnsi="Arial" w:cs="Arial"/>
          <w:sz w:val="20"/>
          <w:szCs w:val="20"/>
        </w:rPr>
      </w:pPr>
    </w:p>
    <w:p w:rsidR="0001090D" w:rsidRDefault="0001090D" w:rsidP="0001090D">
      <w:pPr>
        <w:spacing w:after="0"/>
        <w:rPr>
          <w:rFonts w:ascii="Arial" w:hAnsi="Arial" w:cs="Arial"/>
          <w:sz w:val="20"/>
          <w:szCs w:val="20"/>
        </w:rPr>
      </w:pPr>
    </w:p>
    <w:p w:rsidR="0001090D" w:rsidRDefault="0001090D" w:rsidP="0001090D">
      <w:pPr>
        <w:spacing w:after="0"/>
        <w:rPr>
          <w:rFonts w:ascii="Arial" w:hAnsi="Arial" w:cs="Arial"/>
          <w:sz w:val="20"/>
          <w:szCs w:val="20"/>
        </w:rPr>
      </w:pPr>
    </w:p>
    <w:p w:rsidR="0001090D" w:rsidRDefault="0001090D" w:rsidP="0001090D">
      <w:pPr>
        <w:spacing w:after="0"/>
        <w:rPr>
          <w:rFonts w:ascii="Arial" w:hAnsi="Arial" w:cs="Arial"/>
          <w:sz w:val="20"/>
          <w:szCs w:val="20"/>
        </w:rPr>
      </w:pPr>
    </w:p>
    <w:p w:rsidR="0001090D" w:rsidRDefault="0001090D" w:rsidP="0001090D">
      <w:pPr>
        <w:spacing w:after="0"/>
        <w:rPr>
          <w:rFonts w:ascii="Arial" w:hAnsi="Arial" w:cs="Arial"/>
          <w:sz w:val="20"/>
          <w:szCs w:val="20"/>
        </w:rPr>
      </w:pPr>
    </w:p>
    <w:p w:rsidR="0001090D" w:rsidRDefault="0001090D" w:rsidP="0001090D">
      <w:pPr>
        <w:spacing w:after="0"/>
        <w:rPr>
          <w:rFonts w:ascii="Arial" w:hAnsi="Arial" w:cs="Arial"/>
          <w:sz w:val="20"/>
          <w:szCs w:val="20"/>
        </w:rPr>
      </w:pPr>
    </w:p>
    <w:p w:rsidR="0001090D" w:rsidRDefault="0001090D" w:rsidP="0001090D">
      <w:pPr>
        <w:spacing w:after="0"/>
        <w:rPr>
          <w:rFonts w:ascii="Arial" w:hAnsi="Arial" w:cs="Arial"/>
          <w:sz w:val="20"/>
          <w:szCs w:val="20"/>
        </w:rPr>
      </w:pPr>
    </w:p>
    <w:p w:rsidR="0001090D" w:rsidRDefault="0001090D" w:rsidP="0001090D">
      <w:pPr>
        <w:spacing w:after="0"/>
        <w:rPr>
          <w:rFonts w:ascii="Arial" w:hAnsi="Arial" w:cs="Arial"/>
          <w:sz w:val="20"/>
          <w:szCs w:val="20"/>
        </w:rPr>
      </w:pPr>
    </w:p>
    <w:p w:rsidR="0001090D" w:rsidRDefault="0001090D" w:rsidP="0001090D">
      <w:pPr>
        <w:rPr>
          <w:rFonts w:ascii="Arial" w:hAnsi="Arial" w:cs="Arial"/>
          <w:bCs/>
          <w:color w:val="000000"/>
          <w:sz w:val="20"/>
          <w:szCs w:val="20"/>
        </w:rPr>
      </w:pPr>
    </w:p>
    <w:p w:rsidR="0001090D" w:rsidRDefault="0001090D" w:rsidP="0001090D">
      <w:pPr>
        <w:rPr>
          <w:rFonts w:ascii="Arial" w:hAnsi="Arial" w:cs="Arial"/>
          <w:bCs/>
          <w:color w:val="000000"/>
          <w:sz w:val="20"/>
          <w:szCs w:val="20"/>
        </w:rPr>
      </w:pPr>
    </w:p>
    <w:p w:rsidR="0001090D" w:rsidRDefault="0001090D" w:rsidP="0001090D">
      <w:pPr>
        <w:pStyle w:val="NormalWeb"/>
        <w:rPr>
          <w:rFonts w:ascii="Arial" w:hAnsi="Arial" w:cs="Arial"/>
          <w:b/>
          <w:bCs/>
          <w:color w:val="000000"/>
          <w:sz w:val="20"/>
          <w:szCs w:val="20"/>
        </w:rPr>
      </w:pPr>
      <w:r>
        <w:rPr>
          <w:rFonts w:ascii="Arial" w:hAnsi="Arial" w:cs="Arial"/>
          <w:b/>
          <w:bCs/>
          <w:color w:val="000000"/>
          <w:sz w:val="20"/>
          <w:szCs w:val="20"/>
        </w:rPr>
        <w:t>Master Directions on Interest Rate on Deposits</w:t>
      </w:r>
    </w:p>
    <w:p w:rsidR="0001090D" w:rsidRDefault="0001090D" w:rsidP="0001090D">
      <w:pPr>
        <w:pStyle w:val="NormalWeb"/>
        <w:jc w:val="both"/>
        <w:rPr>
          <w:rFonts w:ascii="Arial" w:hAnsi="Arial" w:cs="Arial"/>
          <w:color w:val="000000"/>
          <w:sz w:val="20"/>
          <w:szCs w:val="20"/>
        </w:rPr>
      </w:pPr>
      <w:r>
        <w:rPr>
          <w:rFonts w:ascii="Arial" w:hAnsi="Arial" w:cs="Arial"/>
          <w:color w:val="000000"/>
          <w:sz w:val="20"/>
          <w:szCs w:val="20"/>
        </w:rPr>
        <w:t>RBI/2022-2023/117</w:t>
      </w:r>
      <w:r>
        <w:rPr>
          <w:rFonts w:ascii="Arial" w:hAnsi="Arial" w:cs="Arial"/>
          <w:color w:val="000000"/>
          <w:sz w:val="20"/>
          <w:szCs w:val="20"/>
        </w:rPr>
        <w:br/>
        <w:t>DOR.SOG (SPE).</w:t>
      </w:r>
      <w:proofErr w:type="spellStart"/>
      <w:r>
        <w:rPr>
          <w:rFonts w:ascii="Arial" w:hAnsi="Arial" w:cs="Arial"/>
          <w:color w:val="000000"/>
          <w:sz w:val="20"/>
          <w:szCs w:val="20"/>
        </w:rPr>
        <w:t>REC.No</w:t>
      </w:r>
      <w:proofErr w:type="spellEnd"/>
      <w:r>
        <w:rPr>
          <w:rFonts w:ascii="Arial" w:hAnsi="Arial" w:cs="Arial"/>
          <w:color w:val="000000"/>
          <w:sz w:val="20"/>
          <w:szCs w:val="20"/>
        </w:rPr>
        <w:t xml:space="preserve"> 68/13.03.00/2022-23</w:t>
      </w:r>
    </w:p>
    <w:p w:rsidR="0001090D" w:rsidRDefault="0001090D" w:rsidP="0001090D">
      <w:pPr>
        <w:pStyle w:val="NormalWeb"/>
        <w:jc w:val="right"/>
        <w:rPr>
          <w:rFonts w:ascii="Arial" w:hAnsi="Arial" w:cs="Arial"/>
          <w:color w:val="000000"/>
          <w:sz w:val="20"/>
          <w:szCs w:val="20"/>
        </w:rPr>
      </w:pPr>
      <w:r>
        <w:rPr>
          <w:rFonts w:ascii="Arial" w:hAnsi="Arial" w:cs="Arial"/>
          <w:color w:val="000000"/>
          <w:sz w:val="20"/>
          <w:szCs w:val="20"/>
        </w:rPr>
        <w:t>September 16, 2022</w:t>
      </w:r>
    </w:p>
    <w:p w:rsidR="0001090D" w:rsidRDefault="0001090D" w:rsidP="0001090D">
      <w:pPr>
        <w:pStyle w:val="NormalWeb"/>
        <w:rPr>
          <w:rFonts w:ascii="Arial" w:hAnsi="Arial" w:cs="Arial"/>
          <w:color w:val="000000"/>
          <w:sz w:val="20"/>
          <w:szCs w:val="20"/>
        </w:rPr>
      </w:pPr>
      <w:r>
        <w:rPr>
          <w:rFonts w:ascii="Arial" w:hAnsi="Arial" w:cs="Arial"/>
          <w:color w:val="000000"/>
          <w:sz w:val="20"/>
          <w:szCs w:val="20"/>
        </w:rPr>
        <w:t>All Scheduled Commercial Banks (including Regional Rural Banks)</w:t>
      </w:r>
      <w:r>
        <w:rPr>
          <w:rFonts w:ascii="Arial" w:hAnsi="Arial" w:cs="Arial"/>
          <w:color w:val="000000"/>
          <w:sz w:val="20"/>
          <w:szCs w:val="20"/>
        </w:rPr>
        <w:br/>
        <w:t>All Small Finance Banks</w:t>
      </w:r>
      <w:r>
        <w:rPr>
          <w:rFonts w:ascii="Arial" w:hAnsi="Arial" w:cs="Arial"/>
          <w:color w:val="000000"/>
          <w:sz w:val="20"/>
          <w:szCs w:val="20"/>
        </w:rPr>
        <w:br/>
        <w:t>All Payment Banks</w:t>
      </w:r>
      <w:r>
        <w:rPr>
          <w:rFonts w:ascii="Arial" w:hAnsi="Arial" w:cs="Arial"/>
          <w:color w:val="000000"/>
          <w:sz w:val="20"/>
          <w:szCs w:val="20"/>
        </w:rPr>
        <w:br/>
        <w:t>All Local Area Banks</w:t>
      </w:r>
      <w:r>
        <w:rPr>
          <w:rFonts w:ascii="Arial" w:hAnsi="Arial" w:cs="Arial"/>
          <w:color w:val="000000"/>
          <w:sz w:val="20"/>
          <w:szCs w:val="20"/>
        </w:rPr>
        <w:br/>
        <w:t>All Primary (Urban) Co-operative Banks/ DCCBs /State Cooperative Banks</w:t>
      </w:r>
    </w:p>
    <w:p w:rsidR="0001090D" w:rsidRDefault="0001090D" w:rsidP="0001090D">
      <w:pPr>
        <w:pStyle w:val="NormalWeb"/>
        <w:jc w:val="both"/>
        <w:rPr>
          <w:rFonts w:ascii="Arial" w:hAnsi="Arial" w:cs="Arial"/>
          <w:color w:val="000000"/>
          <w:sz w:val="20"/>
          <w:szCs w:val="20"/>
        </w:rPr>
      </w:pPr>
      <w:r>
        <w:rPr>
          <w:rFonts w:ascii="Arial" w:hAnsi="Arial" w:cs="Arial"/>
          <w:color w:val="000000"/>
          <w:sz w:val="20"/>
          <w:szCs w:val="20"/>
        </w:rPr>
        <w:t>Sir / Madam,</w:t>
      </w:r>
    </w:p>
    <w:p w:rsidR="0001090D" w:rsidRDefault="0001090D" w:rsidP="0001090D">
      <w:pPr>
        <w:pStyle w:val="head"/>
        <w:jc w:val="both"/>
        <w:rPr>
          <w:rFonts w:ascii="Arial" w:hAnsi="Arial" w:cs="Arial"/>
          <w:b/>
          <w:bCs/>
          <w:color w:val="000000"/>
          <w:sz w:val="20"/>
          <w:szCs w:val="20"/>
        </w:rPr>
      </w:pPr>
      <w:r>
        <w:rPr>
          <w:rFonts w:ascii="Arial" w:hAnsi="Arial" w:cs="Arial"/>
          <w:b/>
          <w:bCs/>
          <w:color w:val="000000"/>
          <w:sz w:val="20"/>
          <w:szCs w:val="20"/>
        </w:rPr>
        <w:t>Master Directions on Interest Rate on Deposits</w:t>
      </w:r>
    </w:p>
    <w:p w:rsidR="0001090D" w:rsidRDefault="0001090D" w:rsidP="0001090D">
      <w:pPr>
        <w:pStyle w:val="NormalWeb"/>
        <w:jc w:val="both"/>
        <w:rPr>
          <w:rFonts w:ascii="Arial" w:hAnsi="Arial" w:cs="Arial"/>
          <w:color w:val="000000"/>
          <w:sz w:val="20"/>
          <w:szCs w:val="20"/>
        </w:rPr>
      </w:pPr>
      <w:r>
        <w:rPr>
          <w:rFonts w:ascii="Arial" w:hAnsi="Arial" w:cs="Arial"/>
          <w:color w:val="000000"/>
          <w:sz w:val="20"/>
          <w:szCs w:val="20"/>
        </w:rPr>
        <w:t>Please refer to the instructions on the Foreign Currency (Non-resident) Accounts (Banks) Scheme contained in Section 19 (h) of the </w:t>
      </w:r>
      <w:hyperlink r:id="rId95" w:tgtFrame="_blank" w:history="1">
        <w:r>
          <w:rPr>
            <w:rStyle w:val="Hyperlink"/>
            <w:rFonts w:ascii="Arial" w:hAnsi="Arial" w:cs="Arial"/>
            <w:sz w:val="20"/>
            <w:szCs w:val="20"/>
          </w:rPr>
          <w:t>Master Direction - Reserve Bank of India (Interest Rate on Deposits) Directions, 2016 dated March 03, 2016</w:t>
        </w:r>
      </w:hyperlink>
      <w:r>
        <w:rPr>
          <w:rFonts w:ascii="Arial" w:hAnsi="Arial" w:cs="Arial"/>
          <w:color w:val="000000"/>
          <w:sz w:val="20"/>
          <w:szCs w:val="20"/>
        </w:rPr>
        <w:t> and Section 18 (h) of the </w:t>
      </w:r>
      <w:hyperlink r:id="rId96" w:tgtFrame="_blank" w:history="1">
        <w:r>
          <w:rPr>
            <w:rStyle w:val="Hyperlink"/>
            <w:rFonts w:ascii="Arial" w:hAnsi="Arial" w:cs="Arial"/>
            <w:sz w:val="20"/>
            <w:szCs w:val="20"/>
          </w:rPr>
          <w:t>Master Direction – Reserve Bank of India (Co-operative Banks – Interest Rate on Deposits) Directions, 2016 dated May 12, 2016</w:t>
        </w:r>
      </w:hyperlink>
      <w:r>
        <w:rPr>
          <w:rFonts w:ascii="Arial" w:hAnsi="Arial" w:cs="Arial"/>
          <w:color w:val="000000"/>
          <w:sz w:val="20"/>
          <w:szCs w:val="20"/>
        </w:rPr>
        <w:t> in terms of which, reference rates for arriving at the interest rates on FCNR (B) deposits shall be quoted / displayed by Foreign Exchange Dealers Association of India (FEDAI).</w:t>
      </w:r>
    </w:p>
    <w:p w:rsidR="0001090D" w:rsidRDefault="0001090D" w:rsidP="0001090D">
      <w:pPr>
        <w:pStyle w:val="NormalWeb"/>
        <w:jc w:val="both"/>
        <w:rPr>
          <w:rFonts w:ascii="Arial" w:hAnsi="Arial" w:cs="Arial"/>
          <w:color w:val="000000"/>
          <w:sz w:val="20"/>
          <w:szCs w:val="20"/>
        </w:rPr>
      </w:pPr>
      <w:r>
        <w:rPr>
          <w:rFonts w:ascii="Arial" w:hAnsi="Arial" w:cs="Arial"/>
          <w:color w:val="000000"/>
          <w:sz w:val="20"/>
          <w:szCs w:val="20"/>
        </w:rPr>
        <w:t xml:space="preserve">2. In terms of the guidance provided by RBI, the reference rates mentioned above are being quoted / displayed by Financial Benchmarks India </w:t>
      </w:r>
      <w:proofErr w:type="spellStart"/>
      <w:r>
        <w:rPr>
          <w:rFonts w:ascii="Arial" w:hAnsi="Arial" w:cs="Arial"/>
          <w:color w:val="000000"/>
          <w:sz w:val="20"/>
          <w:szCs w:val="20"/>
        </w:rPr>
        <w:t>Pvt.</w:t>
      </w:r>
      <w:proofErr w:type="spellEnd"/>
      <w:r>
        <w:rPr>
          <w:rFonts w:ascii="Arial" w:hAnsi="Arial" w:cs="Arial"/>
          <w:color w:val="000000"/>
          <w:sz w:val="20"/>
          <w:szCs w:val="20"/>
        </w:rPr>
        <w:t xml:space="preserve"> Ltd. (FBIL) with effect from January 31, 2022. In this regard, the relevant sections of both the Master Directions on Interest Rate on Deposits have been suitably modified.</w:t>
      </w:r>
    </w:p>
    <w:p w:rsidR="0001090D" w:rsidRDefault="0001090D" w:rsidP="0001090D">
      <w:pPr>
        <w:pStyle w:val="NormalWeb"/>
        <w:jc w:val="both"/>
        <w:rPr>
          <w:rFonts w:ascii="Arial" w:hAnsi="Arial" w:cs="Arial"/>
          <w:color w:val="000000"/>
          <w:sz w:val="20"/>
          <w:szCs w:val="20"/>
        </w:rPr>
      </w:pPr>
      <w:r>
        <w:rPr>
          <w:rFonts w:ascii="Arial" w:hAnsi="Arial" w:cs="Arial"/>
          <w:color w:val="000000"/>
          <w:sz w:val="20"/>
          <w:szCs w:val="20"/>
        </w:rPr>
        <w:t>3. Further, the instructions regarding eligibility for opening of savings account contained in Section 28 (h) and Section 27 (h) of the above-mentioned </w:t>
      </w:r>
      <w:hyperlink r:id="rId97" w:tgtFrame="_blank" w:history="1">
        <w:r>
          <w:rPr>
            <w:rStyle w:val="Hyperlink"/>
            <w:rFonts w:ascii="Arial" w:hAnsi="Arial" w:cs="Arial"/>
            <w:sz w:val="20"/>
            <w:szCs w:val="20"/>
          </w:rPr>
          <w:t>Master Directions (MDs) dated March 03, 2016</w:t>
        </w:r>
      </w:hyperlink>
      <w:r>
        <w:rPr>
          <w:rFonts w:ascii="Arial" w:hAnsi="Arial" w:cs="Arial"/>
          <w:color w:val="000000"/>
          <w:sz w:val="20"/>
          <w:szCs w:val="20"/>
        </w:rPr>
        <w:t> and </w:t>
      </w:r>
      <w:hyperlink r:id="rId98" w:tgtFrame="_blank" w:history="1">
        <w:r>
          <w:rPr>
            <w:rStyle w:val="Hyperlink"/>
            <w:rFonts w:ascii="Arial" w:hAnsi="Arial" w:cs="Arial"/>
            <w:sz w:val="20"/>
            <w:szCs w:val="20"/>
          </w:rPr>
          <w:t>May 12, 2016</w:t>
        </w:r>
      </w:hyperlink>
      <w:r>
        <w:rPr>
          <w:rFonts w:ascii="Arial" w:hAnsi="Arial" w:cs="Arial"/>
          <w:color w:val="000000"/>
          <w:sz w:val="20"/>
          <w:szCs w:val="20"/>
        </w:rPr>
        <w:t>, respectively, and item No. 6 in Schedule I of the two MDs have been modified to make them more explicit.</w:t>
      </w:r>
    </w:p>
    <w:p w:rsidR="0001090D" w:rsidRDefault="0001090D" w:rsidP="0001090D">
      <w:pPr>
        <w:pStyle w:val="NormalWeb"/>
        <w:jc w:val="both"/>
        <w:rPr>
          <w:rFonts w:ascii="Arial" w:hAnsi="Arial" w:cs="Arial"/>
          <w:color w:val="000000"/>
          <w:sz w:val="20"/>
          <w:szCs w:val="20"/>
        </w:rPr>
      </w:pPr>
      <w:r>
        <w:rPr>
          <w:rFonts w:ascii="Arial" w:hAnsi="Arial" w:cs="Arial"/>
          <w:color w:val="000000"/>
          <w:sz w:val="20"/>
          <w:szCs w:val="20"/>
        </w:rPr>
        <w:t>4. The relevant sections of the Master Directions as amended are indicated in the </w:t>
      </w:r>
      <w:hyperlink r:id="rId99" w:anchor="A_N" w:history="1">
        <w:r>
          <w:rPr>
            <w:rStyle w:val="Hyperlink"/>
            <w:rFonts w:ascii="Arial" w:hAnsi="Arial" w:cs="Arial"/>
            <w:sz w:val="20"/>
            <w:szCs w:val="20"/>
          </w:rPr>
          <w:t>Annex</w:t>
        </w:r>
      </w:hyperlink>
      <w:r>
        <w:rPr>
          <w:rFonts w:ascii="Arial" w:hAnsi="Arial" w:cs="Arial"/>
          <w:color w:val="000000"/>
          <w:sz w:val="20"/>
          <w:szCs w:val="20"/>
        </w:rPr>
        <w:t>.</w:t>
      </w:r>
    </w:p>
    <w:p w:rsidR="0001090D" w:rsidRDefault="0001090D" w:rsidP="0001090D">
      <w:pPr>
        <w:pStyle w:val="NormalWeb"/>
        <w:jc w:val="both"/>
        <w:rPr>
          <w:rFonts w:ascii="Arial" w:hAnsi="Arial" w:cs="Arial"/>
          <w:color w:val="000000"/>
          <w:sz w:val="20"/>
          <w:szCs w:val="20"/>
        </w:rPr>
      </w:pPr>
      <w:r>
        <w:rPr>
          <w:rFonts w:ascii="Arial" w:hAnsi="Arial" w:cs="Arial"/>
          <w:color w:val="000000"/>
          <w:sz w:val="20"/>
          <w:szCs w:val="20"/>
        </w:rPr>
        <w:t>5. All other instructions in this regard shall remain unchanged.</w:t>
      </w:r>
    </w:p>
    <w:p w:rsidR="0001090D" w:rsidRDefault="0001090D" w:rsidP="0001090D">
      <w:pPr>
        <w:pStyle w:val="NormalWeb"/>
        <w:jc w:val="both"/>
        <w:rPr>
          <w:rFonts w:ascii="Arial" w:hAnsi="Arial" w:cs="Arial"/>
          <w:color w:val="000000"/>
          <w:sz w:val="20"/>
          <w:szCs w:val="20"/>
        </w:rPr>
      </w:pPr>
      <w:r>
        <w:rPr>
          <w:rFonts w:ascii="Arial" w:hAnsi="Arial" w:cs="Arial"/>
          <w:color w:val="000000"/>
          <w:sz w:val="20"/>
          <w:szCs w:val="20"/>
        </w:rPr>
        <w:t>Yours faithfully,</w:t>
      </w:r>
    </w:p>
    <w:p w:rsidR="0001090D" w:rsidRDefault="0001090D" w:rsidP="0001090D">
      <w:pPr>
        <w:pStyle w:val="NormalWeb"/>
        <w:rPr>
          <w:rFonts w:ascii="Arial" w:hAnsi="Arial" w:cs="Arial"/>
          <w:color w:val="000000"/>
          <w:sz w:val="20"/>
          <w:szCs w:val="20"/>
        </w:rPr>
      </w:pPr>
      <w:r>
        <w:rPr>
          <w:rFonts w:ascii="Arial" w:hAnsi="Arial" w:cs="Arial"/>
          <w:color w:val="000000"/>
          <w:sz w:val="20"/>
          <w:szCs w:val="20"/>
        </w:rPr>
        <w:t xml:space="preserve">(Santosh Kumar </w:t>
      </w:r>
      <w:proofErr w:type="spellStart"/>
      <w:r>
        <w:rPr>
          <w:rFonts w:ascii="Arial" w:hAnsi="Arial" w:cs="Arial"/>
          <w:color w:val="000000"/>
          <w:sz w:val="20"/>
          <w:szCs w:val="20"/>
        </w:rPr>
        <w:t>Panigrahy</w:t>
      </w:r>
      <w:proofErr w:type="spellEnd"/>
      <w:r>
        <w:rPr>
          <w:rFonts w:ascii="Arial" w:hAnsi="Arial" w:cs="Arial"/>
          <w:color w:val="000000"/>
          <w:sz w:val="20"/>
          <w:szCs w:val="20"/>
        </w:rPr>
        <w:t>)</w:t>
      </w:r>
      <w:r>
        <w:rPr>
          <w:rFonts w:ascii="Arial" w:hAnsi="Arial" w:cs="Arial"/>
          <w:color w:val="000000"/>
          <w:sz w:val="20"/>
          <w:szCs w:val="20"/>
        </w:rPr>
        <w:br/>
        <w:t>Chief General Manager</w:t>
      </w:r>
    </w:p>
    <w:p w:rsidR="0001090D" w:rsidRDefault="0001090D" w:rsidP="0001090D"/>
    <w:p w:rsidR="0001090D" w:rsidRDefault="0001090D" w:rsidP="0001090D"/>
    <w:p w:rsidR="0001090D" w:rsidRDefault="0001090D" w:rsidP="0001090D">
      <w:r>
        <w:t>More details can be referred to in the below link.</w:t>
      </w:r>
    </w:p>
    <w:p w:rsidR="0001090D" w:rsidRDefault="0001090D" w:rsidP="0001090D">
      <w:pPr>
        <w:pStyle w:val="NormalWeb"/>
        <w:rPr>
          <w:rFonts w:ascii="Arial" w:hAnsi="Arial" w:cs="Arial"/>
          <w:bCs/>
          <w:color w:val="000000"/>
          <w:sz w:val="20"/>
          <w:szCs w:val="20"/>
        </w:rPr>
      </w:pPr>
      <w:r>
        <w:rPr>
          <w:rFonts w:ascii="Arial" w:hAnsi="Arial" w:cs="Arial"/>
          <w:bCs/>
          <w:color w:val="000000"/>
          <w:sz w:val="20"/>
          <w:szCs w:val="20"/>
        </w:rPr>
        <w:t xml:space="preserve">Reference Link: </w:t>
      </w:r>
      <w:hyperlink r:id="rId100" w:history="1">
        <w:r w:rsidRPr="006865D6">
          <w:rPr>
            <w:rStyle w:val="Hyperlink"/>
            <w:rFonts w:ascii="Arial" w:hAnsi="Arial" w:cs="Arial"/>
            <w:bCs/>
            <w:sz w:val="20"/>
            <w:szCs w:val="20"/>
          </w:rPr>
          <w:t>https://rbi.org.in/Scripts/NotificationUser.aspx?Id=12388&amp;Mode=0</w:t>
        </w:r>
      </w:hyperlink>
    </w:p>
    <w:p w:rsidR="0001090D" w:rsidRDefault="0001090D" w:rsidP="0001090D">
      <w:pPr>
        <w:pStyle w:val="NormalWeb"/>
        <w:rPr>
          <w:rFonts w:ascii="Arial" w:hAnsi="Arial" w:cs="Arial"/>
          <w:bCs/>
          <w:color w:val="000000"/>
          <w:sz w:val="20"/>
          <w:szCs w:val="20"/>
        </w:rPr>
      </w:pPr>
    </w:p>
    <w:p w:rsidR="0001090D" w:rsidRDefault="0001090D" w:rsidP="0001090D">
      <w:pPr>
        <w:pStyle w:val="NormalWeb"/>
        <w:rPr>
          <w:rFonts w:ascii="Arial" w:hAnsi="Arial" w:cs="Arial"/>
          <w:bCs/>
          <w:color w:val="000000"/>
          <w:sz w:val="20"/>
          <w:szCs w:val="20"/>
        </w:rPr>
      </w:pPr>
    </w:p>
    <w:p w:rsidR="0001090D" w:rsidRDefault="0001090D" w:rsidP="0001090D">
      <w:pPr>
        <w:rPr>
          <w:rFonts w:ascii="Arial" w:hAnsi="Arial" w:cs="Arial"/>
          <w:bCs/>
          <w:color w:val="000000"/>
          <w:sz w:val="20"/>
          <w:szCs w:val="20"/>
        </w:rPr>
      </w:pPr>
    </w:p>
    <w:p w:rsidR="0001090D" w:rsidRDefault="0001090D" w:rsidP="0001090D">
      <w:pPr>
        <w:rPr>
          <w:rFonts w:ascii="Arial" w:hAnsi="Arial" w:cs="Arial"/>
          <w:b/>
          <w:bCs/>
          <w:color w:val="000000"/>
          <w:sz w:val="20"/>
          <w:szCs w:val="20"/>
        </w:rPr>
      </w:pPr>
      <w:r>
        <w:rPr>
          <w:rFonts w:ascii="Arial" w:hAnsi="Arial" w:cs="Arial"/>
          <w:b/>
          <w:bCs/>
          <w:color w:val="000000"/>
          <w:sz w:val="20"/>
          <w:szCs w:val="20"/>
        </w:rPr>
        <w:t>Compliance Function and Role of Chief Compliance Officer (CCO)- Urban Co-operative Banks</w:t>
      </w:r>
    </w:p>
    <w:p w:rsidR="0001090D" w:rsidRDefault="0001090D" w:rsidP="0001090D">
      <w:pPr>
        <w:pStyle w:val="NormalWeb"/>
        <w:jc w:val="both"/>
        <w:rPr>
          <w:rFonts w:ascii="Arial" w:hAnsi="Arial" w:cs="Arial"/>
          <w:color w:val="000000"/>
          <w:sz w:val="20"/>
          <w:szCs w:val="20"/>
        </w:rPr>
      </w:pPr>
      <w:r>
        <w:rPr>
          <w:rFonts w:ascii="Arial" w:hAnsi="Arial" w:cs="Arial"/>
          <w:color w:val="000000"/>
          <w:sz w:val="20"/>
          <w:szCs w:val="20"/>
        </w:rPr>
        <w:t>RBI/2022-2023/118</w:t>
      </w:r>
      <w:r>
        <w:rPr>
          <w:rFonts w:ascii="Arial" w:hAnsi="Arial" w:cs="Arial"/>
          <w:color w:val="000000"/>
          <w:sz w:val="20"/>
          <w:szCs w:val="20"/>
        </w:rPr>
        <w:br/>
      </w:r>
      <w:proofErr w:type="spellStart"/>
      <w:r>
        <w:rPr>
          <w:rFonts w:ascii="Arial" w:hAnsi="Arial" w:cs="Arial"/>
          <w:color w:val="000000"/>
          <w:sz w:val="20"/>
          <w:szCs w:val="20"/>
        </w:rPr>
        <w:t>Ref.No.DoS.CO.PPG</w:t>
      </w:r>
      <w:proofErr w:type="spellEnd"/>
      <w:r>
        <w:rPr>
          <w:rFonts w:ascii="Arial" w:hAnsi="Arial" w:cs="Arial"/>
          <w:color w:val="000000"/>
          <w:sz w:val="20"/>
          <w:szCs w:val="20"/>
        </w:rPr>
        <w:t>/SEC.04/11.01.005/2022-23</w:t>
      </w:r>
    </w:p>
    <w:p w:rsidR="0001090D" w:rsidRDefault="0001090D" w:rsidP="0001090D">
      <w:pPr>
        <w:pStyle w:val="NormalWeb"/>
        <w:jc w:val="right"/>
        <w:rPr>
          <w:rFonts w:ascii="Arial" w:hAnsi="Arial" w:cs="Arial"/>
          <w:color w:val="000000"/>
          <w:sz w:val="20"/>
          <w:szCs w:val="20"/>
        </w:rPr>
      </w:pPr>
      <w:r>
        <w:rPr>
          <w:rFonts w:ascii="Arial" w:hAnsi="Arial" w:cs="Arial"/>
          <w:color w:val="000000"/>
          <w:sz w:val="20"/>
          <w:szCs w:val="20"/>
        </w:rPr>
        <w:t>September 19, 2022</w:t>
      </w:r>
    </w:p>
    <w:p w:rsidR="0001090D" w:rsidRDefault="0001090D" w:rsidP="0001090D">
      <w:pPr>
        <w:pStyle w:val="NormalWeb"/>
        <w:rPr>
          <w:rFonts w:ascii="Arial" w:hAnsi="Arial" w:cs="Arial"/>
          <w:color w:val="000000"/>
          <w:sz w:val="20"/>
          <w:szCs w:val="20"/>
        </w:rPr>
      </w:pPr>
      <w:r>
        <w:rPr>
          <w:rFonts w:ascii="Arial" w:hAnsi="Arial" w:cs="Arial"/>
          <w:color w:val="000000"/>
          <w:sz w:val="20"/>
          <w:szCs w:val="20"/>
        </w:rPr>
        <w:t>The Chairman / Managing Director / Chief Executive Officer</w:t>
      </w:r>
      <w:r>
        <w:rPr>
          <w:rFonts w:ascii="Arial" w:hAnsi="Arial" w:cs="Arial"/>
          <w:color w:val="000000"/>
          <w:sz w:val="20"/>
          <w:szCs w:val="20"/>
        </w:rPr>
        <w:br/>
        <w:t>All Primary (Urban) Co-operative Banks (UCBs)</w:t>
      </w:r>
    </w:p>
    <w:p w:rsidR="0001090D" w:rsidRDefault="0001090D" w:rsidP="0001090D">
      <w:pPr>
        <w:pStyle w:val="NormalWeb"/>
        <w:jc w:val="both"/>
        <w:rPr>
          <w:rFonts w:ascii="Arial" w:hAnsi="Arial" w:cs="Arial"/>
          <w:color w:val="000000"/>
          <w:sz w:val="20"/>
          <w:szCs w:val="20"/>
        </w:rPr>
      </w:pPr>
      <w:r>
        <w:rPr>
          <w:rFonts w:ascii="Arial" w:hAnsi="Arial" w:cs="Arial"/>
          <w:color w:val="000000"/>
          <w:sz w:val="20"/>
          <w:szCs w:val="20"/>
        </w:rPr>
        <w:t>Madam / Dear Sir,</w:t>
      </w:r>
    </w:p>
    <w:p w:rsidR="0001090D" w:rsidRDefault="0001090D" w:rsidP="0001090D">
      <w:pPr>
        <w:pStyle w:val="head"/>
        <w:jc w:val="center"/>
        <w:rPr>
          <w:rFonts w:ascii="Arial" w:hAnsi="Arial" w:cs="Arial"/>
          <w:b/>
          <w:bCs/>
          <w:color w:val="000000"/>
          <w:sz w:val="20"/>
          <w:szCs w:val="20"/>
        </w:rPr>
      </w:pPr>
      <w:r>
        <w:rPr>
          <w:rFonts w:ascii="Arial" w:hAnsi="Arial" w:cs="Arial"/>
          <w:b/>
          <w:bCs/>
          <w:color w:val="000000"/>
          <w:sz w:val="20"/>
          <w:szCs w:val="20"/>
          <w:u w:val="single"/>
        </w:rPr>
        <w:t>Compliance Function and Role of Chief Compliance Officer (CCO)-</w:t>
      </w:r>
      <w:r>
        <w:rPr>
          <w:rFonts w:ascii="Arial" w:hAnsi="Arial" w:cs="Arial"/>
          <w:b/>
          <w:bCs/>
          <w:color w:val="000000"/>
          <w:sz w:val="20"/>
          <w:szCs w:val="20"/>
          <w:u w:val="single"/>
        </w:rPr>
        <w:br/>
        <w:t>Urban Co-operative Banks</w:t>
      </w:r>
    </w:p>
    <w:p w:rsidR="0001090D" w:rsidRDefault="0001090D" w:rsidP="0001090D">
      <w:pPr>
        <w:pStyle w:val="NormalWeb"/>
        <w:jc w:val="both"/>
        <w:rPr>
          <w:rFonts w:ascii="Arial" w:hAnsi="Arial" w:cs="Arial"/>
          <w:color w:val="000000"/>
          <w:sz w:val="20"/>
          <w:szCs w:val="20"/>
        </w:rPr>
      </w:pPr>
      <w:r>
        <w:rPr>
          <w:rFonts w:ascii="Arial" w:hAnsi="Arial" w:cs="Arial"/>
          <w:color w:val="000000"/>
          <w:sz w:val="20"/>
          <w:szCs w:val="20"/>
        </w:rPr>
        <w:t>As part of the overall structure for Corporate Governance, the Compliance Function serves a critical role. Therefore, it has been decided to introduce certain principles, standards and procedures for Compliance Function in UCBs, keeping in view the principles of proportionality. Accordingly, this Circular shall be applicable to all UCBs under Tier 3 and Tier 4 categories</w:t>
      </w:r>
      <w:hyperlink r:id="rId101" w:anchor="FN1" w:history="1">
        <w:r>
          <w:rPr>
            <w:rStyle w:val="Hyperlink"/>
            <w:rFonts w:ascii="Arial" w:hAnsi="Arial" w:cs="Arial"/>
            <w:sz w:val="15"/>
            <w:szCs w:val="15"/>
            <w:vertAlign w:val="superscript"/>
          </w:rPr>
          <w:t>1</w:t>
        </w:r>
      </w:hyperlink>
      <w:r>
        <w:rPr>
          <w:rFonts w:ascii="Arial" w:hAnsi="Arial" w:cs="Arial"/>
          <w:color w:val="000000"/>
          <w:sz w:val="20"/>
          <w:szCs w:val="20"/>
        </w:rPr>
        <w:t> except UCBs under All Inclusive Directions (AID)</w:t>
      </w:r>
      <w:hyperlink r:id="rId102" w:anchor="FN2" w:history="1">
        <w:r>
          <w:rPr>
            <w:rStyle w:val="Hyperlink"/>
            <w:rFonts w:ascii="Arial" w:hAnsi="Arial" w:cs="Arial"/>
            <w:sz w:val="15"/>
            <w:szCs w:val="15"/>
            <w:vertAlign w:val="superscript"/>
          </w:rPr>
          <w:t>2</w:t>
        </w:r>
      </w:hyperlink>
      <w:r>
        <w:rPr>
          <w:rFonts w:ascii="Arial" w:hAnsi="Arial" w:cs="Arial"/>
          <w:color w:val="000000"/>
          <w:sz w:val="20"/>
          <w:szCs w:val="20"/>
        </w:rPr>
        <w:t>. UCBs under Tier 1 and Tier 2 categories shall continue to be governed under the existing guidelines</w:t>
      </w:r>
      <w:hyperlink r:id="rId103" w:anchor="FN3" w:history="1">
        <w:r>
          <w:rPr>
            <w:rStyle w:val="Hyperlink"/>
            <w:rFonts w:ascii="Arial" w:hAnsi="Arial" w:cs="Arial"/>
            <w:sz w:val="15"/>
            <w:szCs w:val="15"/>
            <w:vertAlign w:val="superscript"/>
          </w:rPr>
          <w:t>3</w:t>
        </w:r>
      </w:hyperlink>
      <w:r>
        <w:rPr>
          <w:rFonts w:ascii="Arial" w:hAnsi="Arial" w:cs="Arial"/>
          <w:color w:val="000000"/>
          <w:sz w:val="20"/>
          <w:szCs w:val="20"/>
        </w:rPr>
        <w:t>.</w:t>
      </w:r>
    </w:p>
    <w:p w:rsidR="0001090D" w:rsidRDefault="0001090D" w:rsidP="0001090D">
      <w:pPr>
        <w:pStyle w:val="NormalWeb"/>
        <w:jc w:val="both"/>
        <w:rPr>
          <w:rFonts w:ascii="Arial" w:hAnsi="Arial" w:cs="Arial"/>
          <w:color w:val="000000"/>
          <w:sz w:val="20"/>
          <w:szCs w:val="20"/>
        </w:rPr>
      </w:pPr>
      <w:r>
        <w:rPr>
          <w:rFonts w:ascii="Arial" w:hAnsi="Arial" w:cs="Arial"/>
          <w:color w:val="000000"/>
          <w:sz w:val="20"/>
          <w:szCs w:val="20"/>
        </w:rPr>
        <w:t>2. The UCBs under Tier 4 category shall put in place a Board-approved policy and a Compliance Function, including the appointment of a Chief Compliance Officer (CCO), based on the Framework given in the </w:t>
      </w:r>
      <w:hyperlink r:id="rId104" w:anchor="AN" w:history="1">
        <w:r>
          <w:rPr>
            <w:rStyle w:val="Hyperlink"/>
            <w:rFonts w:ascii="Arial" w:hAnsi="Arial" w:cs="Arial"/>
            <w:sz w:val="20"/>
            <w:szCs w:val="20"/>
          </w:rPr>
          <w:t>Annex</w:t>
        </w:r>
      </w:hyperlink>
      <w:r>
        <w:rPr>
          <w:rFonts w:ascii="Arial" w:hAnsi="Arial" w:cs="Arial"/>
          <w:color w:val="000000"/>
          <w:sz w:val="20"/>
          <w:szCs w:val="20"/>
        </w:rPr>
        <w:t>, latest by April 1, 2023. The UCBs under Tier 3 category shall implement the same latest by October 1, 2023.</w:t>
      </w:r>
    </w:p>
    <w:p w:rsidR="0001090D" w:rsidRDefault="0001090D" w:rsidP="0001090D">
      <w:pPr>
        <w:pStyle w:val="NormalWeb"/>
        <w:jc w:val="both"/>
        <w:rPr>
          <w:rFonts w:ascii="Arial" w:hAnsi="Arial" w:cs="Arial"/>
          <w:color w:val="000000"/>
          <w:sz w:val="20"/>
          <w:szCs w:val="20"/>
        </w:rPr>
      </w:pPr>
      <w:r>
        <w:rPr>
          <w:rFonts w:ascii="Arial" w:hAnsi="Arial" w:cs="Arial"/>
          <w:color w:val="000000"/>
          <w:sz w:val="20"/>
          <w:szCs w:val="20"/>
        </w:rPr>
        <w:t>3. This Circular shall be placed in the immediate next meeting of the Board of Directors for information and devising an implementation strategy, under the Board’s supervision, in a time-bound manner.</w:t>
      </w:r>
    </w:p>
    <w:p w:rsidR="0001090D" w:rsidRDefault="0001090D" w:rsidP="0001090D">
      <w:pPr>
        <w:pStyle w:val="NormalWeb"/>
        <w:jc w:val="both"/>
        <w:rPr>
          <w:rFonts w:ascii="Arial" w:hAnsi="Arial" w:cs="Arial"/>
          <w:color w:val="000000"/>
          <w:sz w:val="20"/>
          <w:szCs w:val="20"/>
        </w:rPr>
      </w:pPr>
      <w:r>
        <w:rPr>
          <w:rFonts w:ascii="Arial" w:hAnsi="Arial" w:cs="Arial"/>
          <w:color w:val="000000"/>
          <w:sz w:val="20"/>
          <w:szCs w:val="20"/>
        </w:rPr>
        <w:t>Yours faithfully,</w:t>
      </w:r>
    </w:p>
    <w:p w:rsidR="0001090D" w:rsidRDefault="0001090D" w:rsidP="0001090D">
      <w:pPr>
        <w:pStyle w:val="NormalWeb"/>
        <w:rPr>
          <w:rFonts w:ascii="Arial" w:hAnsi="Arial" w:cs="Arial"/>
          <w:color w:val="000000"/>
          <w:sz w:val="20"/>
          <w:szCs w:val="20"/>
        </w:rPr>
      </w:pPr>
      <w:r>
        <w:rPr>
          <w:rFonts w:ascii="Arial" w:hAnsi="Arial" w:cs="Arial"/>
          <w:color w:val="000000"/>
          <w:sz w:val="20"/>
          <w:szCs w:val="20"/>
        </w:rPr>
        <w:t>(</w:t>
      </w:r>
      <w:proofErr w:type="spellStart"/>
      <w:r>
        <w:rPr>
          <w:rFonts w:ascii="Arial" w:hAnsi="Arial" w:cs="Arial"/>
          <w:color w:val="000000"/>
          <w:sz w:val="20"/>
          <w:szCs w:val="20"/>
        </w:rPr>
        <w:t>Tarun</w:t>
      </w:r>
      <w:proofErr w:type="spellEnd"/>
      <w:r>
        <w:rPr>
          <w:rFonts w:ascii="Arial" w:hAnsi="Arial" w:cs="Arial"/>
          <w:color w:val="000000"/>
          <w:sz w:val="20"/>
          <w:szCs w:val="20"/>
        </w:rPr>
        <w:t xml:space="preserve"> Singh)</w:t>
      </w:r>
      <w:r>
        <w:rPr>
          <w:rFonts w:ascii="Arial" w:hAnsi="Arial" w:cs="Arial"/>
          <w:color w:val="000000"/>
          <w:sz w:val="20"/>
          <w:szCs w:val="20"/>
        </w:rPr>
        <w:br/>
        <w:t>Chief General Manager</w:t>
      </w:r>
    </w:p>
    <w:p w:rsidR="0001090D" w:rsidRDefault="0001090D" w:rsidP="0001090D">
      <w:pPr>
        <w:rPr>
          <w:rFonts w:ascii="Arial" w:hAnsi="Arial" w:cs="Arial"/>
          <w:sz w:val="20"/>
          <w:szCs w:val="20"/>
        </w:rPr>
      </w:pPr>
    </w:p>
    <w:p w:rsidR="0001090D" w:rsidRDefault="0001090D" w:rsidP="0001090D">
      <w:pPr>
        <w:rPr>
          <w:rFonts w:ascii="Arial" w:hAnsi="Arial" w:cs="Arial"/>
          <w:sz w:val="20"/>
          <w:szCs w:val="20"/>
        </w:rPr>
      </w:pPr>
    </w:p>
    <w:p w:rsidR="0001090D" w:rsidRDefault="0001090D" w:rsidP="0001090D">
      <w:pPr>
        <w:rPr>
          <w:rFonts w:ascii="Arial" w:hAnsi="Arial" w:cs="Arial"/>
          <w:sz w:val="20"/>
          <w:szCs w:val="20"/>
        </w:rPr>
      </w:pPr>
    </w:p>
    <w:p w:rsidR="0001090D" w:rsidRDefault="0001090D" w:rsidP="0001090D">
      <w:r>
        <w:t>More details can be referred to in the below link.</w:t>
      </w:r>
    </w:p>
    <w:p w:rsidR="0001090D" w:rsidRDefault="0001090D" w:rsidP="0001090D">
      <w:pPr>
        <w:rPr>
          <w:rFonts w:ascii="Arial" w:hAnsi="Arial" w:cs="Arial"/>
          <w:bCs/>
          <w:color w:val="000000"/>
          <w:sz w:val="20"/>
          <w:szCs w:val="20"/>
        </w:rPr>
      </w:pPr>
      <w:r>
        <w:rPr>
          <w:rFonts w:ascii="Arial" w:hAnsi="Arial" w:cs="Arial"/>
          <w:bCs/>
          <w:color w:val="000000"/>
          <w:sz w:val="20"/>
          <w:szCs w:val="20"/>
        </w:rPr>
        <w:t xml:space="preserve">Reference Link: </w:t>
      </w:r>
      <w:hyperlink r:id="rId105" w:history="1">
        <w:r w:rsidRPr="00735218">
          <w:rPr>
            <w:rStyle w:val="Hyperlink"/>
            <w:rFonts w:ascii="Arial" w:hAnsi="Arial" w:cs="Arial"/>
            <w:bCs/>
            <w:sz w:val="20"/>
            <w:szCs w:val="20"/>
          </w:rPr>
          <w:t>https://rbi.org.in/Scripts/NotificationUser.aspx?Id=12389&amp;Mode=0</w:t>
        </w:r>
      </w:hyperlink>
    </w:p>
    <w:p w:rsidR="0001090D" w:rsidRDefault="0001090D" w:rsidP="0001090D">
      <w:pPr>
        <w:rPr>
          <w:rFonts w:ascii="Arial" w:hAnsi="Arial" w:cs="Arial"/>
          <w:bCs/>
          <w:color w:val="000000"/>
          <w:sz w:val="20"/>
          <w:szCs w:val="20"/>
        </w:rPr>
      </w:pPr>
    </w:p>
    <w:p w:rsidR="0001090D" w:rsidRDefault="0001090D" w:rsidP="0001090D">
      <w:pPr>
        <w:rPr>
          <w:rFonts w:ascii="Arial" w:hAnsi="Arial" w:cs="Arial"/>
          <w:bCs/>
          <w:color w:val="000000"/>
          <w:sz w:val="20"/>
          <w:szCs w:val="20"/>
        </w:rPr>
      </w:pPr>
    </w:p>
    <w:p w:rsidR="0001090D" w:rsidRDefault="0001090D" w:rsidP="0001090D">
      <w:pPr>
        <w:rPr>
          <w:rFonts w:ascii="Arial" w:hAnsi="Arial" w:cs="Arial"/>
          <w:bCs/>
          <w:color w:val="000000"/>
          <w:sz w:val="20"/>
          <w:szCs w:val="20"/>
        </w:rPr>
      </w:pPr>
    </w:p>
    <w:p w:rsidR="0001090D" w:rsidRDefault="0001090D" w:rsidP="0001090D">
      <w:pPr>
        <w:rPr>
          <w:rFonts w:ascii="Arial" w:hAnsi="Arial" w:cs="Arial"/>
          <w:bCs/>
          <w:color w:val="000000"/>
          <w:sz w:val="20"/>
          <w:szCs w:val="20"/>
        </w:rPr>
      </w:pPr>
    </w:p>
    <w:p w:rsidR="0001090D" w:rsidRDefault="0001090D" w:rsidP="0001090D">
      <w:pPr>
        <w:rPr>
          <w:rFonts w:ascii="Arial" w:hAnsi="Arial" w:cs="Arial"/>
          <w:bCs/>
          <w:color w:val="000000"/>
          <w:sz w:val="20"/>
          <w:szCs w:val="20"/>
        </w:rPr>
      </w:pPr>
    </w:p>
    <w:p w:rsidR="0001090D" w:rsidRDefault="0001090D" w:rsidP="0001090D">
      <w:pPr>
        <w:rPr>
          <w:rFonts w:ascii="Arial" w:hAnsi="Arial" w:cs="Arial"/>
          <w:bCs/>
          <w:color w:val="000000"/>
          <w:sz w:val="20"/>
          <w:szCs w:val="20"/>
        </w:rPr>
      </w:pPr>
    </w:p>
    <w:p w:rsidR="0001090D" w:rsidRDefault="0001090D" w:rsidP="0001090D">
      <w:pPr>
        <w:rPr>
          <w:rFonts w:ascii="Arial" w:hAnsi="Arial" w:cs="Arial"/>
          <w:bCs/>
          <w:color w:val="000000"/>
          <w:sz w:val="20"/>
          <w:szCs w:val="20"/>
        </w:rPr>
      </w:pPr>
    </w:p>
    <w:p w:rsidR="0001090D" w:rsidRDefault="0001090D" w:rsidP="0001090D">
      <w:pPr>
        <w:rPr>
          <w:rFonts w:ascii="Arial" w:hAnsi="Arial" w:cs="Arial"/>
          <w:bCs/>
          <w:color w:val="000000"/>
          <w:sz w:val="20"/>
          <w:szCs w:val="20"/>
        </w:rPr>
      </w:pPr>
    </w:p>
    <w:p w:rsidR="0001090D" w:rsidRDefault="0001090D" w:rsidP="0001090D">
      <w:pPr>
        <w:spacing w:after="0"/>
        <w:rPr>
          <w:rFonts w:ascii="Arial" w:hAnsi="Arial" w:cs="Arial"/>
          <w:b/>
          <w:bCs/>
          <w:color w:val="000000"/>
          <w:sz w:val="20"/>
          <w:szCs w:val="20"/>
        </w:rPr>
      </w:pPr>
      <w:r>
        <w:rPr>
          <w:rFonts w:ascii="Arial" w:hAnsi="Arial" w:cs="Arial"/>
          <w:b/>
          <w:bCs/>
          <w:color w:val="000000"/>
          <w:sz w:val="20"/>
          <w:szCs w:val="20"/>
        </w:rPr>
        <w:t>Late Submission Fee for reporting delays under Foreign Exchange Management Act, 1999 (FEMA)</w:t>
      </w:r>
    </w:p>
    <w:p w:rsidR="0001090D" w:rsidRDefault="0001090D" w:rsidP="0001090D">
      <w:pPr>
        <w:spacing w:after="0"/>
        <w:rPr>
          <w:rFonts w:ascii="Arial" w:hAnsi="Arial" w:cs="Arial"/>
          <w:b/>
          <w:bCs/>
          <w:color w:val="000000"/>
          <w:sz w:val="20"/>
          <w:szCs w:val="20"/>
        </w:rPr>
      </w:pPr>
    </w:p>
    <w:p w:rsidR="0001090D" w:rsidRDefault="0001090D" w:rsidP="0001090D">
      <w:pPr>
        <w:pStyle w:val="NormalWeb"/>
        <w:jc w:val="both"/>
        <w:rPr>
          <w:rFonts w:ascii="Arial" w:hAnsi="Arial" w:cs="Arial"/>
          <w:color w:val="000000"/>
          <w:sz w:val="20"/>
          <w:szCs w:val="20"/>
        </w:rPr>
      </w:pPr>
      <w:r>
        <w:rPr>
          <w:rFonts w:ascii="Arial" w:hAnsi="Arial" w:cs="Arial"/>
          <w:color w:val="000000"/>
          <w:sz w:val="20"/>
          <w:szCs w:val="20"/>
        </w:rPr>
        <w:t>RBI/2022-23/122</w:t>
      </w:r>
      <w:r>
        <w:rPr>
          <w:rFonts w:ascii="Arial" w:hAnsi="Arial" w:cs="Arial"/>
          <w:color w:val="000000"/>
          <w:sz w:val="20"/>
          <w:szCs w:val="20"/>
        </w:rPr>
        <w:br/>
        <w:t>A.P. (DIR Series) Circular No. 16</w:t>
      </w:r>
    </w:p>
    <w:p w:rsidR="0001090D" w:rsidRDefault="0001090D" w:rsidP="0001090D">
      <w:pPr>
        <w:pStyle w:val="NormalWeb"/>
        <w:jc w:val="right"/>
        <w:rPr>
          <w:rFonts w:ascii="Arial" w:hAnsi="Arial" w:cs="Arial"/>
          <w:color w:val="000000"/>
          <w:sz w:val="20"/>
          <w:szCs w:val="20"/>
        </w:rPr>
      </w:pPr>
      <w:r>
        <w:rPr>
          <w:rFonts w:ascii="Arial" w:hAnsi="Arial" w:cs="Arial"/>
          <w:color w:val="000000"/>
          <w:sz w:val="20"/>
          <w:szCs w:val="20"/>
        </w:rPr>
        <w:t>September 30, 2022</w:t>
      </w:r>
    </w:p>
    <w:p w:rsidR="0001090D" w:rsidRDefault="0001090D" w:rsidP="0001090D">
      <w:pPr>
        <w:pStyle w:val="NormalWeb"/>
        <w:jc w:val="both"/>
        <w:rPr>
          <w:rFonts w:ascii="Arial" w:hAnsi="Arial" w:cs="Arial"/>
          <w:color w:val="000000"/>
          <w:sz w:val="20"/>
          <w:szCs w:val="20"/>
        </w:rPr>
      </w:pPr>
      <w:r>
        <w:rPr>
          <w:rFonts w:ascii="Arial" w:hAnsi="Arial" w:cs="Arial"/>
          <w:color w:val="000000"/>
          <w:sz w:val="20"/>
          <w:szCs w:val="20"/>
        </w:rPr>
        <w:t>To</w:t>
      </w:r>
      <w:r>
        <w:rPr>
          <w:rFonts w:ascii="Arial" w:hAnsi="Arial" w:cs="Arial"/>
          <w:color w:val="000000"/>
          <w:sz w:val="20"/>
          <w:szCs w:val="20"/>
        </w:rPr>
        <w:br/>
        <w:t>All Category-I Authorised Dealer Banks</w:t>
      </w:r>
    </w:p>
    <w:p w:rsidR="0001090D" w:rsidRDefault="0001090D" w:rsidP="0001090D">
      <w:pPr>
        <w:pStyle w:val="NormalWeb"/>
        <w:jc w:val="both"/>
        <w:rPr>
          <w:rFonts w:ascii="Arial" w:hAnsi="Arial" w:cs="Arial"/>
          <w:color w:val="000000"/>
          <w:sz w:val="20"/>
          <w:szCs w:val="20"/>
        </w:rPr>
      </w:pPr>
      <w:r>
        <w:rPr>
          <w:rFonts w:ascii="Arial" w:hAnsi="Arial" w:cs="Arial"/>
          <w:color w:val="000000"/>
          <w:sz w:val="20"/>
          <w:szCs w:val="20"/>
        </w:rPr>
        <w:t>Madam / Sir</w:t>
      </w:r>
    </w:p>
    <w:p w:rsidR="0001090D" w:rsidRDefault="0001090D" w:rsidP="0001090D">
      <w:pPr>
        <w:pStyle w:val="head"/>
        <w:jc w:val="center"/>
        <w:rPr>
          <w:rFonts w:ascii="Arial" w:hAnsi="Arial" w:cs="Arial"/>
          <w:b/>
          <w:bCs/>
          <w:color w:val="000000"/>
          <w:sz w:val="20"/>
          <w:szCs w:val="20"/>
        </w:rPr>
      </w:pPr>
      <w:r>
        <w:rPr>
          <w:rFonts w:ascii="Arial" w:hAnsi="Arial" w:cs="Arial"/>
          <w:b/>
          <w:bCs/>
          <w:color w:val="000000"/>
          <w:sz w:val="20"/>
          <w:szCs w:val="20"/>
        </w:rPr>
        <w:t>Late Submission Fee for reporting delays under Foreign Exchange Management Act, 1999 (FEMA)</w:t>
      </w:r>
    </w:p>
    <w:p w:rsidR="0001090D" w:rsidRDefault="0001090D" w:rsidP="0001090D">
      <w:pPr>
        <w:pStyle w:val="NormalWeb"/>
        <w:jc w:val="both"/>
        <w:rPr>
          <w:rFonts w:ascii="Arial" w:hAnsi="Arial" w:cs="Arial"/>
          <w:color w:val="000000"/>
          <w:sz w:val="20"/>
          <w:szCs w:val="20"/>
        </w:rPr>
      </w:pPr>
      <w:r>
        <w:rPr>
          <w:rFonts w:ascii="Arial" w:hAnsi="Arial" w:cs="Arial"/>
          <w:color w:val="000000"/>
          <w:sz w:val="20"/>
          <w:szCs w:val="20"/>
        </w:rPr>
        <w:t>The Late Submission Fee (LSF) was introduced for reporting delays in Foreign Investment (FI), External Commercial Borrowings (ECBs) and Overseas Investment related transactions with effect from November 07, 2017, January 16, 2019 and August 22, 2022 respectively. It has now been decided to bring uniformity in imposition of LSF across functions. The following matrix shall be used henceforth for calculation of LSF, wherever applicable:</w:t>
      </w:r>
    </w:p>
    <w:tbl>
      <w:tblPr>
        <w:tblW w:w="44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46"/>
        <w:gridCol w:w="5344"/>
        <w:gridCol w:w="1885"/>
      </w:tblGrid>
      <w:tr w:rsidR="0001090D" w:rsidTr="00C96881">
        <w:tc>
          <w:tcPr>
            <w:tcW w:w="524" w:type="pct"/>
            <w:tcMar>
              <w:top w:w="0" w:type="dxa"/>
              <w:left w:w="45" w:type="dxa"/>
              <w:bottom w:w="0" w:type="dxa"/>
              <w:right w:w="45" w:type="dxa"/>
            </w:tcMar>
            <w:vAlign w:val="center"/>
            <w:hideMark/>
          </w:tcPr>
          <w:p w:rsidR="0001090D" w:rsidRDefault="0001090D" w:rsidP="00C96881">
            <w:pPr>
              <w:spacing w:line="240" w:lineRule="auto"/>
              <w:jc w:val="center"/>
              <w:rPr>
                <w:rFonts w:ascii="Arial" w:hAnsi="Arial" w:cs="Arial"/>
                <w:b/>
                <w:bCs/>
                <w:color w:val="000000"/>
                <w:sz w:val="20"/>
                <w:szCs w:val="20"/>
              </w:rPr>
            </w:pPr>
            <w:r>
              <w:rPr>
                <w:rFonts w:ascii="Arial" w:hAnsi="Arial" w:cs="Arial"/>
                <w:b/>
                <w:bCs/>
                <w:color w:val="000000"/>
                <w:sz w:val="20"/>
                <w:szCs w:val="20"/>
              </w:rPr>
              <w:t>Sr. No.</w:t>
            </w:r>
          </w:p>
        </w:tc>
        <w:tc>
          <w:tcPr>
            <w:tcW w:w="3309" w:type="pct"/>
            <w:tcMar>
              <w:top w:w="0" w:type="dxa"/>
              <w:left w:w="45" w:type="dxa"/>
              <w:bottom w:w="0" w:type="dxa"/>
              <w:right w:w="45" w:type="dxa"/>
            </w:tcMar>
            <w:vAlign w:val="center"/>
            <w:hideMark/>
          </w:tcPr>
          <w:p w:rsidR="0001090D" w:rsidRDefault="0001090D" w:rsidP="00C96881">
            <w:pPr>
              <w:jc w:val="center"/>
              <w:rPr>
                <w:rFonts w:ascii="Arial" w:hAnsi="Arial" w:cs="Arial"/>
                <w:b/>
                <w:bCs/>
                <w:color w:val="000000"/>
                <w:sz w:val="20"/>
                <w:szCs w:val="20"/>
              </w:rPr>
            </w:pPr>
            <w:r>
              <w:rPr>
                <w:rFonts w:ascii="Arial" w:hAnsi="Arial" w:cs="Arial"/>
                <w:b/>
                <w:bCs/>
                <w:color w:val="000000"/>
                <w:sz w:val="20"/>
                <w:szCs w:val="20"/>
              </w:rPr>
              <w:t>Type of Reporting delays</w:t>
            </w:r>
          </w:p>
        </w:tc>
        <w:tc>
          <w:tcPr>
            <w:tcW w:w="1167" w:type="pct"/>
            <w:tcMar>
              <w:top w:w="0" w:type="dxa"/>
              <w:left w:w="45" w:type="dxa"/>
              <w:bottom w:w="0" w:type="dxa"/>
              <w:right w:w="45" w:type="dxa"/>
            </w:tcMar>
            <w:vAlign w:val="center"/>
            <w:hideMark/>
          </w:tcPr>
          <w:p w:rsidR="0001090D" w:rsidRDefault="0001090D" w:rsidP="00C96881">
            <w:pPr>
              <w:jc w:val="center"/>
              <w:rPr>
                <w:rFonts w:ascii="Arial" w:hAnsi="Arial" w:cs="Arial"/>
                <w:b/>
                <w:bCs/>
                <w:color w:val="000000"/>
                <w:sz w:val="20"/>
                <w:szCs w:val="20"/>
              </w:rPr>
            </w:pPr>
            <w:r>
              <w:rPr>
                <w:rFonts w:ascii="Arial" w:hAnsi="Arial" w:cs="Arial"/>
                <w:b/>
                <w:bCs/>
                <w:color w:val="000000"/>
                <w:sz w:val="20"/>
                <w:szCs w:val="20"/>
              </w:rPr>
              <w:t>LSF Amount (INR)</w:t>
            </w:r>
          </w:p>
        </w:tc>
      </w:tr>
      <w:tr w:rsidR="0001090D" w:rsidTr="00C96881">
        <w:tc>
          <w:tcPr>
            <w:tcW w:w="524" w:type="pct"/>
            <w:tcMar>
              <w:top w:w="0" w:type="dxa"/>
              <w:left w:w="45" w:type="dxa"/>
              <w:bottom w:w="0" w:type="dxa"/>
              <w:right w:w="45" w:type="dxa"/>
            </w:tcMar>
            <w:vAlign w:val="center"/>
            <w:hideMark/>
          </w:tcPr>
          <w:p w:rsidR="0001090D" w:rsidRDefault="0001090D" w:rsidP="00C96881">
            <w:pPr>
              <w:jc w:val="center"/>
              <w:rPr>
                <w:rFonts w:ascii="Arial" w:hAnsi="Arial" w:cs="Arial"/>
                <w:color w:val="000000"/>
                <w:sz w:val="20"/>
                <w:szCs w:val="20"/>
              </w:rPr>
            </w:pPr>
            <w:r>
              <w:rPr>
                <w:rFonts w:ascii="Arial" w:hAnsi="Arial" w:cs="Arial"/>
                <w:color w:val="000000"/>
                <w:sz w:val="20"/>
                <w:szCs w:val="20"/>
              </w:rPr>
              <w:t>1</w:t>
            </w:r>
          </w:p>
        </w:tc>
        <w:tc>
          <w:tcPr>
            <w:tcW w:w="3309" w:type="pct"/>
            <w:tcMar>
              <w:top w:w="0" w:type="dxa"/>
              <w:left w:w="45" w:type="dxa"/>
              <w:bottom w:w="0" w:type="dxa"/>
              <w:right w:w="45" w:type="dxa"/>
            </w:tcMar>
            <w:vAlign w:val="center"/>
            <w:hideMark/>
          </w:tcPr>
          <w:p w:rsidR="0001090D" w:rsidRDefault="0001090D" w:rsidP="00C96881">
            <w:pPr>
              <w:jc w:val="both"/>
              <w:rPr>
                <w:rFonts w:ascii="Arial" w:hAnsi="Arial" w:cs="Arial"/>
                <w:color w:val="000000"/>
                <w:sz w:val="20"/>
                <w:szCs w:val="20"/>
              </w:rPr>
            </w:pPr>
            <w:r>
              <w:rPr>
                <w:rFonts w:ascii="Arial" w:hAnsi="Arial" w:cs="Arial"/>
                <w:color w:val="000000"/>
                <w:sz w:val="20"/>
                <w:szCs w:val="20"/>
              </w:rPr>
              <w:t>Form ODI Part-II/ APR, FCGPR (B), FLA Returns, Form OPI, evidence of investment or any other return which does not capture flows or any other periodical reporting</w:t>
            </w:r>
          </w:p>
        </w:tc>
        <w:tc>
          <w:tcPr>
            <w:tcW w:w="1167" w:type="pct"/>
            <w:tcMar>
              <w:top w:w="0" w:type="dxa"/>
              <w:left w:w="45" w:type="dxa"/>
              <w:bottom w:w="0" w:type="dxa"/>
              <w:right w:w="45" w:type="dxa"/>
            </w:tcMar>
            <w:vAlign w:val="center"/>
            <w:hideMark/>
          </w:tcPr>
          <w:p w:rsidR="0001090D" w:rsidRDefault="0001090D" w:rsidP="00C96881">
            <w:pPr>
              <w:jc w:val="center"/>
              <w:rPr>
                <w:rFonts w:ascii="Arial" w:hAnsi="Arial" w:cs="Arial"/>
                <w:color w:val="000000"/>
                <w:sz w:val="20"/>
                <w:szCs w:val="20"/>
              </w:rPr>
            </w:pPr>
            <w:r>
              <w:rPr>
                <w:rFonts w:ascii="Arial" w:hAnsi="Arial" w:cs="Arial"/>
                <w:color w:val="000000"/>
                <w:sz w:val="20"/>
                <w:szCs w:val="20"/>
              </w:rPr>
              <w:t>7500</w:t>
            </w:r>
          </w:p>
        </w:tc>
      </w:tr>
      <w:tr w:rsidR="0001090D" w:rsidTr="00C96881">
        <w:tc>
          <w:tcPr>
            <w:tcW w:w="524" w:type="pct"/>
            <w:tcMar>
              <w:top w:w="0" w:type="dxa"/>
              <w:left w:w="45" w:type="dxa"/>
              <w:bottom w:w="0" w:type="dxa"/>
              <w:right w:w="45" w:type="dxa"/>
            </w:tcMar>
            <w:vAlign w:val="center"/>
            <w:hideMark/>
          </w:tcPr>
          <w:p w:rsidR="0001090D" w:rsidRDefault="0001090D" w:rsidP="00C96881">
            <w:pPr>
              <w:jc w:val="center"/>
              <w:rPr>
                <w:rFonts w:ascii="Arial" w:hAnsi="Arial" w:cs="Arial"/>
                <w:color w:val="000000"/>
                <w:sz w:val="20"/>
                <w:szCs w:val="20"/>
              </w:rPr>
            </w:pPr>
            <w:r>
              <w:rPr>
                <w:rFonts w:ascii="Arial" w:hAnsi="Arial" w:cs="Arial"/>
                <w:color w:val="000000"/>
                <w:sz w:val="20"/>
                <w:szCs w:val="20"/>
              </w:rPr>
              <w:t>2</w:t>
            </w:r>
          </w:p>
        </w:tc>
        <w:tc>
          <w:tcPr>
            <w:tcW w:w="3309" w:type="pct"/>
            <w:tcMar>
              <w:top w:w="0" w:type="dxa"/>
              <w:left w:w="45" w:type="dxa"/>
              <w:bottom w:w="0" w:type="dxa"/>
              <w:right w:w="45" w:type="dxa"/>
            </w:tcMar>
            <w:vAlign w:val="center"/>
            <w:hideMark/>
          </w:tcPr>
          <w:p w:rsidR="0001090D" w:rsidRDefault="0001090D" w:rsidP="00C96881">
            <w:pPr>
              <w:jc w:val="both"/>
              <w:rPr>
                <w:rFonts w:ascii="Arial" w:hAnsi="Arial" w:cs="Arial"/>
                <w:color w:val="000000"/>
                <w:sz w:val="20"/>
                <w:szCs w:val="20"/>
              </w:rPr>
            </w:pPr>
            <w:r>
              <w:rPr>
                <w:rFonts w:ascii="Arial" w:hAnsi="Arial" w:cs="Arial"/>
                <w:color w:val="000000"/>
                <w:sz w:val="20"/>
                <w:szCs w:val="20"/>
              </w:rPr>
              <w:t xml:space="preserve">FC-GPR, FCTRS, Form ESOP, Form LLP(I), Form LLP(II), Form CN, Form DI, Form </w:t>
            </w:r>
            <w:proofErr w:type="spellStart"/>
            <w:r>
              <w:rPr>
                <w:rFonts w:ascii="Arial" w:hAnsi="Arial" w:cs="Arial"/>
                <w:color w:val="000000"/>
                <w:sz w:val="20"/>
                <w:szCs w:val="20"/>
              </w:rPr>
              <w:t>InVi</w:t>
            </w:r>
            <w:proofErr w:type="spellEnd"/>
            <w:r>
              <w:rPr>
                <w:rFonts w:ascii="Arial" w:hAnsi="Arial" w:cs="Arial"/>
                <w:color w:val="000000"/>
                <w:sz w:val="20"/>
                <w:szCs w:val="20"/>
              </w:rPr>
              <w:t>, Form ODI-Part I, Form ODI-Part III, Form FC, Form ECB, Form ECB-2, Revised Form ECB or any other return which captures flows or returns which capture reporting of non-fund transactions or any other transactional reporting</w:t>
            </w:r>
          </w:p>
        </w:tc>
        <w:tc>
          <w:tcPr>
            <w:tcW w:w="1167" w:type="pct"/>
            <w:tcMar>
              <w:top w:w="0" w:type="dxa"/>
              <w:left w:w="45" w:type="dxa"/>
              <w:bottom w:w="0" w:type="dxa"/>
              <w:right w:w="45" w:type="dxa"/>
            </w:tcMar>
            <w:vAlign w:val="center"/>
            <w:hideMark/>
          </w:tcPr>
          <w:p w:rsidR="0001090D" w:rsidRDefault="0001090D" w:rsidP="00C96881">
            <w:pPr>
              <w:jc w:val="center"/>
              <w:rPr>
                <w:rFonts w:ascii="Arial" w:hAnsi="Arial" w:cs="Arial"/>
                <w:color w:val="000000"/>
                <w:sz w:val="20"/>
                <w:szCs w:val="20"/>
              </w:rPr>
            </w:pPr>
            <w:r>
              <w:rPr>
                <w:rFonts w:ascii="Arial" w:hAnsi="Arial" w:cs="Arial"/>
                <w:color w:val="000000"/>
                <w:sz w:val="20"/>
                <w:szCs w:val="20"/>
              </w:rPr>
              <w:t>[7500 + (0.025% × A × n)]</w:t>
            </w:r>
          </w:p>
        </w:tc>
      </w:tr>
    </w:tbl>
    <w:p w:rsidR="0001090D" w:rsidRDefault="0001090D" w:rsidP="0001090D">
      <w:pPr>
        <w:pStyle w:val="NormalWeb"/>
        <w:jc w:val="both"/>
        <w:rPr>
          <w:rFonts w:ascii="Arial" w:hAnsi="Arial" w:cs="Arial"/>
          <w:color w:val="000000"/>
          <w:sz w:val="20"/>
          <w:szCs w:val="20"/>
        </w:rPr>
      </w:pPr>
      <w:r>
        <w:rPr>
          <w:rFonts w:ascii="Arial" w:hAnsi="Arial" w:cs="Arial"/>
          <w:color w:val="000000"/>
          <w:sz w:val="20"/>
          <w:szCs w:val="20"/>
        </w:rPr>
        <w:t>2. The above provisions shall come into effect immediately for the delayed filings made on or after the date of this circular.</w:t>
      </w:r>
    </w:p>
    <w:p w:rsidR="0001090D" w:rsidRDefault="0001090D" w:rsidP="0001090D">
      <w:pPr>
        <w:pStyle w:val="NormalWeb"/>
        <w:jc w:val="both"/>
        <w:rPr>
          <w:rFonts w:ascii="Arial" w:hAnsi="Arial" w:cs="Arial"/>
          <w:color w:val="000000"/>
          <w:sz w:val="20"/>
          <w:szCs w:val="20"/>
        </w:rPr>
      </w:pPr>
      <w:r>
        <w:rPr>
          <w:rFonts w:ascii="Arial" w:hAnsi="Arial" w:cs="Arial"/>
          <w:color w:val="000000"/>
          <w:sz w:val="20"/>
          <w:szCs w:val="20"/>
        </w:rPr>
        <w:t xml:space="preserve">3. All other provisions of reporting under FEMA remain unchanged. AD Category - I </w:t>
      </w:r>
      <w:proofErr w:type="gramStart"/>
      <w:r>
        <w:rPr>
          <w:rFonts w:ascii="Arial" w:hAnsi="Arial" w:cs="Arial"/>
          <w:color w:val="000000"/>
          <w:sz w:val="20"/>
          <w:szCs w:val="20"/>
        </w:rPr>
        <w:t>banks</w:t>
      </w:r>
      <w:proofErr w:type="gramEnd"/>
      <w:r>
        <w:rPr>
          <w:rFonts w:ascii="Arial" w:hAnsi="Arial" w:cs="Arial"/>
          <w:color w:val="000000"/>
          <w:sz w:val="20"/>
          <w:szCs w:val="20"/>
        </w:rPr>
        <w:t xml:space="preserve"> should bring the contents of this circular to the notice of their constituents and customers.</w:t>
      </w:r>
    </w:p>
    <w:p w:rsidR="0001090D" w:rsidRDefault="0001090D" w:rsidP="0001090D">
      <w:pPr>
        <w:pStyle w:val="NormalWeb"/>
        <w:jc w:val="both"/>
        <w:rPr>
          <w:rFonts w:ascii="Arial" w:hAnsi="Arial" w:cs="Arial"/>
          <w:color w:val="000000"/>
          <w:sz w:val="20"/>
          <w:szCs w:val="20"/>
        </w:rPr>
      </w:pPr>
      <w:r>
        <w:rPr>
          <w:rFonts w:ascii="Arial" w:hAnsi="Arial" w:cs="Arial"/>
          <w:color w:val="000000"/>
          <w:sz w:val="20"/>
          <w:szCs w:val="20"/>
        </w:rPr>
        <w:t>4. The ‘</w:t>
      </w:r>
      <w:hyperlink r:id="rId106" w:tgtFrame="_blank" w:history="1">
        <w:r>
          <w:rPr>
            <w:rStyle w:val="Hyperlink"/>
            <w:rFonts w:ascii="Arial" w:hAnsi="Arial" w:cs="Arial"/>
            <w:sz w:val="20"/>
            <w:szCs w:val="20"/>
          </w:rPr>
          <w:t>Master Direction – Reporting under Foreign Exchange Management Act, 1999</w:t>
        </w:r>
      </w:hyperlink>
      <w:r>
        <w:rPr>
          <w:rFonts w:ascii="Arial" w:hAnsi="Arial" w:cs="Arial"/>
          <w:color w:val="000000"/>
          <w:sz w:val="20"/>
          <w:szCs w:val="20"/>
        </w:rPr>
        <w:t>’ and ‘</w:t>
      </w:r>
      <w:hyperlink r:id="rId107" w:tgtFrame="_blank" w:history="1">
        <w:r>
          <w:rPr>
            <w:rStyle w:val="Hyperlink"/>
            <w:rFonts w:ascii="Arial" w:hAnsi="Arial" w:cs="Arial"/>
            <w:sz w:val="20"/>
            <w:szCs w:val="20"/>
          </w:rPr>
          <w:t>Master Direction - External Commercial Borrowings, Trade Credits and Structured Obligations</w:t>
        </w:r>
      </w:hyperlink>
      <w:r>
        <w:rPr>
          <w:rFonts w:ascii="Arial" w:hAnsi="Arial" w:cs="Arial"/>
          <w:color w:val="000000"/>
          <w:sz w:val="20"/>
          <w:szCs w:val="20"/>
        </w:rPr>
        <w:t>’ are being updated to reflect the changes.</w:t>
      </w:r>
    </w:p>
    <w:p w:rsidR="0001090D" w:rsidRDefault="0001090D" w:rsidP="0001090D">
      <w:pPr>
        <w:pStyle w:val="NormalWeb"/>
        <w:spacing w:after="0" w:afterAutospacing="0"/>
        <w:rPr>
          <w:rFonts w:ascii="Arial" w:hAnsi="Arial" w:cs="Arial"/>
          <w:color w:val="000000"/>
          <w:sz w:val="20"/>
          <w:szCs w:val="20"/>
        </w:rPr>
      </w:pPr>
      <w:r>
        <w:rPr>
          <w:rFonts w:ascii="Arial" w:hAnsi="Arial" w:cs="Arial"/>
          <w:color w:val="000000"/>
          <w:sz w:val="20"/>
          <w:szCs w:val="20"/>
        </w:rPr>
        <w:t>Yours faithfully</w:t>
      </w:r>
    </w:p>
    <w:p w:rsidR="0001090D" w:rsidRDefault="0001090D" w:rsidP="0001090D">
      <w:pPr>
        <w:pStyle w:val="NormalWeb"/>
        <w:rPr>
          <w:rFonts w:ascii="Arial" w:hAnsi="Arial" w:cs="Arial"/>
          <w:color w:val="000000"/>
          <w:sz w:val="20"/>
          <w:szCs w:val="20"/>
        </w:rPr>
      </w:pPr>
      <w:r>
        <w:rPr>
          <w:rFonts w:ascii="Arial" w:hAnsi="Arial" w:cs="Arial"/>
          <w:color w:val="000000"/>
          <w:sz w:val="20"/>
          <w:szCs w:val="20"/>
        </w:rPr>
        <w:t xml:space="preserve">Ajay Kumar </w:t>
      </w:r>
      <w:proofErr w:type="spellStart"/>
      <w:r>
        <w:rPr>
          <w:rFonts w:ascii="Arial" w:hAnsi="Arial" w:cs="Arial"/>
          <w:color w:val="000000"/>
          <w:sz w:val="20"/>
          <w:szCs w:val="20"/>
        </w:rPr>
        <w:t>Misra</w:t>
      </w:r>
      <w:proofErr w:type="spellEnd"/>
      <w:r>
        <w:rPr>
          <w:rFonts w:ascii="Arial" w:hAnsi="Arial" w:cs="Arial"/>
          <w:color w:val="000000"/>
          <w:sz w:val="20"/>
          <w:szCs w:val="20"/>
        </w:rPr>
        <w:br/>
        <w:t>Chief General Manager-in-Charge</w:t>
      </w:r>
    </w:p>
    <w:p w:rsidR="0001090D" w:rsidRDefault="0001090D" w:rsidP="0001090D">
      <w:pPr>
        <w:spacing w:after="0"/>
        <w:rPr>
          <w:rFonts w:ascii="Arial" w:hAnsi="Arial" w:cs="Arial"/>
          <w:b/>
          <w:bCs/>
          <w:color w:val="000000"/>
          <w:sz w:val="20"/>
          <w:szCs w:val="20"/>
        </w:rPr>
      </w:pPr>
    </w:p>
    <w:p w:rsidR="0001090D" w:rsidRDefault="0001090D" w:rsidP="0001090D">
      <w:pPr>
        <w:spacing w:after="0"/>
        <w:rPr>
          <w:rFonts w:ascii="Arial" w:hAnsi="Arial" w:cs="Arial"/>
          <w:b/>
          <w:bCs/>
          <w:color w:val="000000"/>
          <w:sz w:val="20"/>
          <w:szCs w:val="20"/>
        </w:rPr>
      </w:pPr>
    </w:p>
    <w:p w:rsidR="0001090D" w:rsidRPr="00435B25" w:rsidRDefault="0001090D" w:rsidP="0001090D">
      <w:pPr>
        <w:spacing w:after="0"/>
        <w:rPr>
          <w:rFonts w:ascii="Arial" w:hAnsi="Arial" w:cs="Arial"/>
          <w:sz w:val="20"/>
          <w:szCs w:val="20"/>
        </w:rPr>
      </w:pPr>
      <w:r w:rsidRPr="00435B25">
        <w:rPr>
          <w:rFonts w:ascii="Arial" w:hAnsi="Arial" w:cs="Arial"/>
          <w:sz w:val="20"/>
          <w:szCs w:val="20"/>
        </w:rPr>
        <w:t>More details can be referred to in the below link.</w:t>
      </w:r>
    </w:p>
    <w:p w:rsidR="0001090D" w:rsidRDefault="0001090D" w:rsidP="0001090D">
      <w:pPr>
        <w:spacing w:after="0"/>
        <w:rPr>
          <w:rFonts w:ascii="Arial" w:hAnsi="Arial" w:cs="Arial"/>
          <w:sz w:val="20"/>
          <w:szCs w:val="20"/>
        </w:rPr>
      </w:pPr>
      <w:r w:rsidRPr="00435B25">
        <w:rPr>
          <w:rFonts w:ascii="Arial" w:hAnsi="Arial" w:cs="Arial"/>
          <w:sz w:val="20"/>
          <w:szCs w:val="20"/>
        </w:rPr>
        <w:t>Reference Link:</w:t>
      </w:r>
      <w:r>
        <w:rPr>
          <w:rFonts w:ascii="Arial" w:hAnsi="Arial" w:cs="Arial"/>
          <w:sz w:val="20"/>
          <w:szCs w:val="20"/>
        </w:rPr>
        <w:t xml:space="preserve"> </w:t>
      </w:r>
      <w:hyperlink r:id="rId108" w:history="1">
        <w:r w:rsidRPr="009517FA">
          <w:rPr>
            <w:rStyle w:val="Hyperlink"/>
            <w:rFonts w:ascii="Arial" w:hAnsi="Arial" w:cs="Arial"/>
            <w:sz w:val="20"/>
            <w:szCs w:val="20"/>
          </w:rPr>
          <w:t>https://www.rbi.org.in/scripts/NotificationUser.aspx?Id=12393&amp;Mode=0</w:t>
        </w:r>
      </w:hyperlink>
    </w:p>
    <w:p w:rsidR="0001090D" w:rsidRDefault="0001090D" w:rsidP="0001090D">
      <w:pPr>
        <w:rPr>
          <w:rFonts w:ascii="Arial" w:hAnsi="Arial" w:cs="Arial"/>
          <w:bCs/>
          <w:color w:val="000000"/>
          <w:sz w:val="20"/>
          <w:szCs w:val="20"/>
        </w:rPr>
      </w:pPr>
    </w:p>
    <w:p w:rsidR="0001090D" w:rsidRDefault="0001090D" w:rsidP="0001090D">
      <w:pPr>
        <w:rPr>
          <w:rFonts w:ascii="Arial" w:hAnsi="Arial" w:cs="Arial"/>
          <w:b/>
          <w:bCs/>
          <w:color w:val="000000"/>
          <w:sz w:val="20"/>
          <w:szCs w:val="20"/>
        </w:rPr>
      </w:pPr>
      <w:r>
        <w:rPr>
          <w:rFonts w:ascii="Arial" w:hAnsi="Arial" w:cs="Arial"/>
          <w:b/>
          <w:bCs/>
          <w:color w:val="000000"/>
          <w:sz w:val="20"/>
          <w:szCs w:val="20"/>
        </w:rPr>
        <w:t>Appointment of Internal Ombudsman by the Credit Information Companies</w:t>
      </w:r>
    </w:p>
    <w:p w:rsidR="0001090D" w:rsidRDefault="0001090D" w:rsidP="0001090D">
      <w:pPr>
        <w:pStyle w:val="NormalWeb"/>
        <w:jc w:val="both"/>
        <w:rPr>
          <w:rFonts w:ascii="Arial" w:hAnsi="Arial" w:cs="Arial"/>
          <w:color w:val="000000"/>
          <w:sz w:val="20"/>
          <w:szCs w:val="20"/>
        </w:rPr>
      </w:pPr>
      <w:r>
        <w:rPr>
          <w:rFonts w:ascii="Arial" w:hAnsi="Arial" w:cs="Arial"/>
          <w:color w:val="000000"/>
          <w:sz w:val="20"/>
          <w:szCs w:val="20"/>
        </w:rPr>
        <w:t>RBI/2022-23/124</w:t>
      </w:r>
      <w:r>
        <w:rPr>
          <w:rFonts w:ascii="Arial" w:hAnsi="Arial" w:cs="Arial"/>
          <w:color w:val="000000"/>
          <w:sz w:val="20"/>
          <w:szCs w:val="20"/>
        </w:rPr>
        <w:br/>
        <w:t>CEPD.PRD.No.S806/13-01-008/2022-23</w:t>
      </w:r>
    </w:p>
    <w:p w:rsidR="0001090D" w:rsidRDefault="0001090D" w:rsidP="0001090D">
      <w:pPr>
        <w:pStyle w:val="NormalWeb"/>
        <w:jc w:val="right"/>
        <w:rPr>
          <w:rFonts w:ascii="Arial" w:hAnsi="Arial" w:cs="Arial"/>
          <w:color w:val="000000"/>
          <w:sz w:val="20"/>
          <w:szCs w:val="20"/>
        </w:rPr>
      </w:pPr>
      <w:r>
        <w:rPr>
          <w:rFonts w:ascii="Arial" w:hAnsi="Arial" w:cs="Arial"/>
          <w:color w:val="000000"/>
          <w:sz w:val="20"/>
          <w:szCs w:val="20"/>
        </w:rPr>
        <w:t>October 6, 2022</w:t>
      </w:r>
    </w:p>
    <w:p w:rsidR="0001090D" w:rsidRDefault="0001090D" w:rsidP="0001090D">
      <w:pPr>
        <w:pStyle w:val="NormalWeb"/>
        <w:jc w:val="both"/>
        <w:rPr>
          <w:rFonts w:ascii="Arial" w:hAnsi="Arial" w:cs="Arial"/>
          <w:color w:val="000000"/>
          <w:sz w:val="20"/>
          <w:szCs w:val="20"/>
        </w:rPr>
      </w:pPr>
      <w:r>
        <w:rPr>
          <w:rFonts w:ascii="Arial" w:hAnsi="Arial" w:cs="Arial"/>
          <w:color w:val="000000"/>
          <w:sz w:val="20"/>
          <w:szCs w:val="20"/>
        </w:rPr>
        <w:t>All Credit Information Companies</w:t>
      </w:r>
    </w:p>
    <w:p w:rsidR="0001090D" w:rsidRDefault="0001090D" w:rsidP="0001090D">
      <w:pPr>
        <w:pStyle w:val="NormalWeb"/>
        <w:jc w:val="both"/>
        <w:rPr>
          <w:rFonts w:ascii="Arial" w:hAnsi="Arial" w:cs="Arial"/>
          <w:color w:val="000000"/>
          <w:sz w:val="20"/>
          <w:szCs w:val="20"/>
        </w:rPr>
      </w:pPr>
      <w:r>
        <w:rPr>
          <w:rFonts w:ascii="Arial" w:hAnsi="Arial" w:cs="Arial"/>
          <w:color w:val="000000"/>
          <w:sz w:val="20"/>
          <w:szCs w:val="20"/>
        </w:rPr>
        <w:t>Madam/ Sir,</w:t>
      </w:r>
    </w:p>
    <w:p w:rsidR="0001090D" w:rsidRDefault="0001090D" w:rsidP="0001090D">
      <w:pPr>
        <w:pStyle w:val="head"/>
        <w:jc w:val="both"/>
        <w:rPr>
          <w:rFonts w:ascii="Arial" w:hAnsi="Arial" w:cs="Arial"/>
          <w:b/>
          <w:bCs/>
          <w:color w:val="000000"/>
          <w:sz w:val="20"/>
          <w:szCs w:val="20"/>
        </w:rPr>
      </w:pPr>
      <w:r>
        <w:rPr>
          <w:rFonts w:ascii="Arial" w:hAnsi="Arial" w:cs="Arial"/>
          <w:b/>
          <w:bCs/>
          <w:color w:val="000000"/>
          <w:sz w:val="20"/>
          <w:szCs w:val="20"/>
        </w:rPr>
        <w:t>Appointment of Internal Ombudsman by the Credit Information Companies</w:t>
      </w:r>
    </w:p>
    <w:p w:rsidR="0001090D" w:rsidRDefault="0001090D" w:rsidP="0001090D">
      <w:pPr>
        <w:pStyle w:val="NormalWeb"/>
        <w:jc w:val="both"/>
        <w:rPr>
          <w:rFonts w:ascii="Arial" w:hAnsi="Arial" w:cs="Arial"/>
          <w:color w:val="000000"/>
          <w:sz w:val="20"/>
          <w:szCs w:val="20"/>
        </w:rPr>
      </w:pPr>
      <w:r>
        <w:rPr>
          <w:rFonts w:ascii="Arial" w:hAnsi="Arial" w:cs="Arial"/>
          <w:color w:val="000000"/>
          <w:sz w:val="20"/>
          <w:szCs w:val="20"/>
        </w:rPr>
        <w:t>Please refer to paragraph 2 of the </w:t>
      </w:r>
      <w:hyperlink r:id="rId109" w:tgtFrame="_blank" w:history="1">
        <w:r>
          <w:rPr>
            <w:rStyle w:val="Hyperlink"/>
            <w:rFonts w:ascii="Arial" w:hAnsi="Arial" w:cs="Arial"/>
            <w:sz w:val="20"/>
            <w:szCs w:val="20"/>
          </w:rPr>
          <w:t>Statement on Developmental and Regulatory Policies dated August 5, 2022</w:t>
        </w:r>
      </w:hyperlink>
      <w:r>
        <w:rPr>
          <w:rFonts w:ascii="Arial" w:hAnsi="Arial" w:cs="Arial"/>
          <w:color w:val="000000"/>
          <w:sz w:val="20"/>
          <w:szCs w:val="20"/>
        </w:rPr>
        <w:t xml:space="preserve">, wherein the decision to bring Credit Information Companies (CICs) under the Internal Ombudsman (IO) Framework was announced with a view to strengthen and improve the efficiency of the internal grievance </w:t>
      </w:r>
      <w:proofErr w:type="spellStart"/>
      <w:r>
        <w:rPr>
          <w:rFonts w:ascii="Arial" w:hAnsi="Arial" w:cs="Arial"/>
          <w:color w:val="000000"/>
          <w:sz w:val="20"/>
          <w:szCs w:val="20"/>
        </w:rPr>
        <w:t>redressal</w:t>
      </w:r>
      <w:proofErr w:type="spellEnd"/>
      <w:r>
        <w:rPr>
          <w:rFonts w:ascii="Arial" w:hAnsi="Arial" w:cs="Arial"/>
          <w:color w:val="000000"/>
          <w:sz w:val="20"/>
          <w:szCs w:val="20"/>
        </w:rPr>
        <w:t xml:space="preserve"> mechanisms of CICs.</w:t>
      </w:r>
    </w:p>
    <w:p w:rsidR="0001090D" w:rsidRDefault="0001090D" w:rsidP="0001090D">
      <w:pPr>
        <w:pStyle w:val="NormalWeb"/>
        <w:jc w:val="both"/>
        <w:rPr>
          <w:rFonts w:ascii="Arial" w:hAnsi="Arial" w:cs="Arial"/>
          <w:color w:val="000000"/>
          <w:sz w:val="20"/>
          <w:szCs w:val="20"/>
        </w:rPr>
      </w:pPr>
      <w:r>
        <w:rPr>
          <w:rFonts w:ascii="Arial" w:hAnsi="Arial" w:cs="Arial"/>
          <w:color w:val="000000"/>
          <w:sz w:val="20"/>
          <w:szCs w:val="20"/>
        </w:rPr>
        <w:t>2. Accordingly, in exercise of the powers conferred by sub section (1) of Section 11 of the Credit Information Companies (Regulation) Act, 2005 (the Act), the Reserve Bank of India, being satisfied that it is in public interest to do so, directs all Credit Information Companies holding a Certificate of Registration under sub-section (2) of Section 5 of the Act, to comply with the Reserve Bank of India (Credit Information Companies- Internal Ombudsman) Directions, 2022 </w:t>
      </w:r>
      <w:hyperlink r:id="rId110" w:anchor="AN" w:history="1">
        <w:r>
          <w:rPr>
            <w:rStyle w:val="Hyperlink"/>
            <w:rFonts w:ascii="Arial" w:hAnsi="Arial" w:cs="Arial"/>
            <w:sz w:val="20"/>
            <w:szCs w:val="20"/>
          </w:rPr>
          <w:t>annexed</w:t>
        </w:r>
      </w:hyperlink>
      <w:r>
        <w:rPr>
          <w:rFonts w:ascii="Arial" w:hAnsi="Arial" w:cs="Arial"/>
          <w:color w:val="000000"/>
          <w:sz w:val="20"/>
          <w:szCs w:val="20"/>
        </w:rPr>
        <w:t> herewith, by April 1, 2023.</w:t>
      </w:r>
    </w:p>
    <w:p w:rsidR="0001090D" w:rsidRDefault="0001090D" w:rsidP="0001090D">
      <w:pPr>
        <w:pStyle w:val="NormalWeb"/>
        <w:jc w:val="both"/>
        <w:rPr>
          <w:rFonts w:ascii="Arial" w:hAnsi="Arial" w:cs="Arial"/>
          <w:color w:val="000000"/>
          <w:sz w:val="20"/>
          <w:szCs w:val="20"/>
        </w:rPr>
      </w:pPr>
      <w:r>
        <w:rPr>
          <w:rFonts w:ascii="Arial" w:hAnsi="Arial" w:cs="Arial"/>
          <w:color w:val="000000"/>
          <w:sz w:val="20"/>
          <w:szCs w:val="20"/>
        </w:rPr>
        <w:t>Yours faithfully,</w:t>
      </w:r>
    </w:p>
    <w:p w:rsidR="0001090D" w:rsidRDefault="0001090D" w:rsidP="0001090D">
      <w:pPr>
        <w:pStyle w:val="NormalWeb"/>
        <w:rPr>
          <w:rFonts w:ascii="Arial" w:hAnsi="Arial" w:cs="Arial"/>
          <w:color w:val="000000"/>
          <w:sz w:val="20"/>
          <w:szCs w:val="20"/>
        </w:rPr>
      </w:pPr>
      <w:r>
        <w:rPr>
          <w:rFonts w:ascii="Arial" w:hAnsi="Arial" w:cs="Arial"/>
          <w:color w:val="000000"/>
          <w:sz w:val="20"/>
          <w:szCs w:val="20"/>
        </w:rPr>
        <w:t>(Anupam Sonal)</w:t>
      </w:r>
      <w:r>
        <w:rPr>
          <w:rFonts w:ascii="Arial" w:hAnsi="Arial" w:cs="Arial"/>
          <w:color w:val="000000"/>
          <w:sz w:val="20"/>
          <w:szCs w:val="20"/>
        </w:rPr>
        <w:br/>
        <w:t>Chief General Manager</w:t>
      </w:r>
    </w:p>
    <w:p w:rsidR="0001090D" w:rsidRDefault="0001090D" w:rsidP="0001090D">
      <w:pPr>
        <w:rPr>
          <w:rFonts w:ascii="Arial" w:hAnsi="Arial" w:cs="Arial"/>
          <w:b/>
          <w:bCs/>
          <w:color w:val="000000"/>
          <w:sz w:val="20"/>
          <w:szCs w:val="20"/>
        </w:rPr>
      </w:pPr>
    </w:p>
    <w:p w:rsidR="0001090D" w:rsidRDefault="0001090D" w:rsidP="0001090D">
      <w:pPr>
        <w:rPr>
          <w:rFonts w:ascii="Arial" w:hAnsi="Arial" w:cs="Arial"/>
          <w:b/>
          <w:bCs/>
          <w:color w:val="000000"/>
          <w:sz w:val="20"/>
          <w:szCs w:val="20"/>
        </w:rPr>
      </w:pPr>
    </w:p>
    <w:p w:rsidR="0001090D" w:rsidRDefault="0001090D" w:rsidP="0001090D">
      <w:pPr>
        <w:rPr>
          <w:rFonts w:ascii="Arial" w:hAnsi="Arial" w:cs="Arial"/>
          <w:b/>
          <w:bCs/>
          <w:color w:val="000000"/>
          <w:sz w:val="20"/>
          <w:szCs w:val="20"/>
        </w:rPr>
      </w:pPr>
    </w:p>
    <w:p w:rsidR="0001090D" w:rsidRDefault="0001090D" w:rsidP="0001090D">
      <w:pPr>
        <w:rPr>
          <w:rFonts w:ascii="Arial" w:hAnsi="Arial" w:cs="Arial"/>
          <w:b/>
          <w:bCs/>
          <w:color w:val="000000"/>
          <w:sz w:val="20"/>
          <w:szCs w:val="20"/>
        </w:rPr>
      </w:pPr>
    </w:p>
    <w:p w:rsidR="0001090D" w:rsidRPr="00435B25" w:rsidRDefault="0001090D" w:rsidP="0001090D">
      <w:pPr>
        <w:spacing w:after="0"/>
        <w:rPr>
          <w:rFonts w:ascii="Arial" w:hAnsi="Arial" w:cs="Arial"/>
          <w:sz w:val="20"/>
          <w:szCs w:val="20"/>
        </w:rPr>
      </w:pPr>
      <w:r w:rsidRPr="00435B25">
        <w:rPr>
          <w:rFonts w:ascii="Arial" w:hAnsi="Arial" w:cs="Arial"/>
          <w:sz w:val="20"/>
          <w:szCs w:val="20"/>
        </w:rPr>
        <w:t>More details can be referred to in the below link.</w:t>
      </w:r>
    </w:p>
    <w:p w:rsidR="0001090D" w:rsidRDefault="0001090D" w:rsidP="0001090D">
      <w:pPr>
        <w:rPr>
          <w:rFonts w:ascii="Arial" w:hAnsi="Arial" w:cs="Arial"/>
          <w:bCs/>
          <w:color w:val="000000"/>
          <w:sz w:val="20"/>
          <w:szCs w:val="20"/>
        </w:rPr>
      </w:pPr>
      <w:r w:rsidRPr="00435B25">
        <w:rPr>
          <w:rFonts w:ascii="Arial" w:hAnsi="Arial" w:cs="Arial"/>
          <w:sz w:val="20"/>
          <w:szCs w:val="20"/>
        </w:rPr>
        <w:t>Reference Link:</w:t>
      </w:r>
      <w:r>
        <w:rPr>
          <w:rFonts w:ascii="Arial" w:hAnsi="Arial" w:cs="Arial"/>
          <w:b/>
          <w:bCs/>
          <w:color w:val="000000"/>
          <w:sz w:val="20"/>
          <w:szCs w:val="20"/>
        </w:rPr>
        <w:t xml:space="preserve"> </w:t>
      </w:r>
      <w:hyperlink r:id="rId111" w:history="1">
        <w:r w:rsidRPr="009517FA">
          <w:rPr>
            <w:rStyle w:val="Hyperlink"/>
            <w:rFonts w:ascii="Arial" w:hAnsi="Arial" w:cs="Arial"/>
            <w:bCs/>
            <w:sz w:val="20"/>
            <w:szCs w:val="20"/>
          </w:rPr>
          <w:t>https://www.rbi.org.in/Scripts/NotificationUser.aspx?Id=12395&amp;Mode=0</w:t>
        </w:r>
      </w:hyperlink>
    </w:p>
    <w:p w:rsidR="0001090D" w:rsidRDefault="0001090D" w:rsidP="0001090D">
      <w:pPr>
        <w:rPr>
          <w:rFonts w:ascii="Arial" w:hAnsi="Arial" w:cs="Arial"/>
          <w:b/>
          <w:bCs/>
          <w:color w:val="000000"/>
          <w:sz w:val="20"/>
          <w:szCs w:val="20"/>
        </w:rPr>
      </w:pPr>
    </w:p>
    <w:p w:rsidR="0001090D" w:rsidRDefault="0001090D" w:rsidP="0001090D">
      <w:pPr>
        <w:rPr>
          <w:rFonts w:ascii="Arial" w:hAnsi="Arial" w:cs="Arial"/>
          <w:b/>
          <w:bCs/>
          <w:color w:val="000000"/>
          <w:sz w:val="20"/>
          <w:szCs w:val="20"/>
        </w:rPr>
      </w:pPr>
    </w:p>
    <w:p w:rsidR="0001090D" w:rsidRDefault="0001090D" w:rsidP="0001090D">
      <w:pPr>
        <w:rPr>
          <w:rFonts w:ascii="Arial" w:hAnsi="Arial" w:cs="Arial"/>
          <w:b/>
          <w:bCs/>
          <w:color w:val="000000"/>
          <w:sz w:val="20"/>
          <w:szCs w:val="20"/>
        </w:rPr>
      </w:pPr>
    </w:p>
    <w:p w:rsidR="0001090D" w:rsidRDefault="0001090D" w:rsidP="0001090D">
      <w:pPr>
        <w:rPr>
          <w:rFonts w:ascii="Arial" w:hAnsi="Arial" w:cs="Arial"/>
          <w:b/>
          <w:bCs/>
          <w:color w:val="000000"/>
          <w:sz w:val="20"/>
          <w:szCs w:val="20"/>
        </w:rPr>
      </w:pPr>
    </w:p>
    <w:p w:rsidR="0001090D" w:rsidRDefault="0001090D" w:rsidP="0001090D">
      <w:pPr>
        <w:rPr>
          <w:rFonts w:ascii="Arial" w:hAnsi="Arial" w:cs="Arial"/>
          <w:b/>
          <w:bCs/>
          <w:color w:val="000000"/>
          <w:sz w:val="20"/>
          <w:szCs w:val="20"/>
        </w:rPr>
      </w:pPr>
    </w:p>
    <w:p w:rsidR="0001090D" w:rsidRDefault="0001090D" w:rsidP="0001090D">
      <w:pPr>
        <w:rPr>
          <w:rFonts w:ascii="Arial" w:hAnsi="Arial" w:cs="Arial"/>
          <w:b/>
          <w:bCs/>
          <w:color w:val="000000"/>
          <w:sz w:val="20"/>
          <w:szCs w:val="20"/>
        </w:rPr>
      </w:pPr>
    </w:p>
    <w:p w:rsidR="0001090D" w:rsidRDefault="0001090D" w:rsidP="0001090D">
      <w:pPr>
        <w:rPr>
          <w:rFonts w:ascii="Arial" w:hAnsi="Arial" w:cs="Arial"/>
          <w:b/>
          <w:bCs/>
          <w:color w:val="000000"/>
          <w:sz w:val="20"/>
          <w:szCs w:val="20"/>
        </w:rPr>
      </w:pPr>
    </w:p>
    <w:p w:rsidR="0001090D" w:rsidRDefault="0001090D" w:rsidP="0001090D">
      <w:pPr>
        <w:rPr>
          <w:rFonts w:ascii="Arial" w:hAnsi="Arial" w:cs="Arial"/>
          <w:b/>
          <w:bCs/>
          <w:color w:val="000000"/>
          <w:sz w:val="20"/>
          <w:szCs w:val="20"/>
        </w:rPr>
      </w:pPr>
    </w:p>
    <w:p w:rsidR="0001090D" w:rsidRDefault="0001090D" w:rsidP="0001090D">
      <w:pPr>
        <w:rPr>
          <w:rFonts w:ascii="Arial" w:hAnsi="Arial" w:cs="Arial"/>
          <w:b/>
          <w:bCs/>
          <w:color w:val="000000"/>
          <w:sz w:val="20"/>
          <w:szCs w:val="20"/>
        </w:rPr>
      </w:pPr>
    </w:p>
    <w:p w:rsidR="0001090D" w:rsidRDefault="0001090D" w:rsidP="0001090D">
      <w:pPr>
        <w:rPr>
          <w:rFonts w:ascii="Arial" w:hAnsi="Arial" w:cs="Arial"/>
          <w:bCs/>
          <w:color w:val="000000"/>
          <w:sz w:val="20"/>
          <w:szCs w:val="20"/>
        </w:rPr>
      </w:pPr>
    </w:p>
    <w:p w:rsidR="0001090D" w:rsidRDefault="0001090D" w:rsidP="0001090D">
      <w:pPr>
        <w:rPr>
          <w:rFonts w:ascii="Arial" w:hAnsi="Arial" w:cs="Arial"/>
          <w:b/>
          <w:bCs/>
          <w:color w:val="000000"/>
          <w:sz w:val="20"/>
          <w:szCs w:val="20"/>
        </w:rPr>
      </w:pPr>
      <w:r>
        <w:rPr>
          <w:rFonts w:ascii="Arial" w:hAnsi="Arial" w:cs="Arial"/>
          <w:b/>
          <w:bCs/>
          <w:color w:val="000000"/>
          <w:sz w:val="20"/>
          <w:szCs w:val="20"/>
        </w:rPr>
        <w:t>Review of Prudential Norms – Risk Weights for Exposures to Corporates and NBFCs</w:t>
      </w:r>
    </w:p>
    <w:p w:rsidR="0001090D" w:rsidRDefault="0001090D" w:rsidP="0001090D">
      <w:pPr>
        <w:pStyle w:val="NormalWeb"/>
        <w:jc w:val="both"/>
        <w:rPr>
          <w:rFonts w:ascii="Arial" w:hAnsi="Arial" w:cs="Arial"/>
          <w:color w:val="000000"/>
          <w:sz w:val="20"/>
          <w:szCs w:val="20"/>
        </w:rPr>
      </w:pPr>
      <w:r>
        <w:rPr>
          <w:rFonts w:ascii="Arial" w:hAnsi="Arial" w:cs="Arial"/>
          <w:color w:val="000000"/>
          <w:sz w:val="20"/>
          <w:szCs w:val="20"/>
        </w:rPr>
        <w:t>RBI/2022-23/125</w:t>
      </w:r>
      <w:r>
        <w:rPr>
          <w:rFonts w:ascii="Arial" w:hAnsi="Arial" w:cs="Arial"/>
          <w:color w:val="000000"/>
          <w:sz w:val="20"/>
          <w:szCs w:val="20"/>
        </w:rPr>
        <w:br/>
        <w:t>DOR.STR.REC.71/21.06.201/2022-23</w:t>
      </w:r>
    </w:p>
    <w:p w:rsidR="0001090D" w:rsidRDefault="0001090D" w:rsidP="0001090D">
      <w:pPr>
        <w:pStyle w:val="NormalWeb"/>
        <w:jc w:val="right"/>
        <w:rPr>
          <w:rFonts w:ascii="Arial" w:hAnsi="Arial" w:cs="Arial"/>
          <w:color w:val="000000"/>
          <w:sz w:val="20"/>
          <w:szCs w:val="20"/>
        </w:rPr>
      </w:pPr>
      <w:r>
        <w:rPr>
          <w:rFonts w:ascii="Arial" w:hAnsi="Arial" w:cs="Arial"/>
          <w:color w:val="000000"/>
          <w:sz w:val="20"/>
          <w:szCs w:val="20"/>
        </w:rPr>
        <w:t>October 10, 2022</w:t>
      </w:r>
    </w:p>
    <w:p w:rsidR="0001090D" w:rsidRDefault="0001090D" w:rsidP="0001090D">
      <w:pPr>
        <w:pStyle w:val="NormalWeb"/>
        <w:rPr>
          <w:rFonts w:ascii="Arial" w:hAnsi="Arial" w:cs="Arial"/>
          <w:color w:val="000000"/>
          <w:sz w:val="20"/>
          <w:szCs w:val="20"/>
        </w:rPr>
      </w:pPr>
      <w:r>
        <w:rPr>
          <w:rFonts w:ascii="Arial" w:hAnsi="Arial" w:cs="Arial"/>
          <w:color w:val="000000"/>
          <w:sz w:val="20"/>
          <w:szCs w:val="20"/>
        </w:rPr>
        <w:t>All Scheduled Commercial Banks</w:t>
      </w:r>
      <w:r>
        <w:rPr>
          <w:rFonts w:ascii="Arial" w:hAnsi="Arial" w:cs="Arial"/>
          <w:color w:val="000000"/>
          <w:sz w:val="20"/>
          <w:szCs w:val="20"/>
        </w:rPr>
        <w:br/>
        <w:t>(including Small Finance Banks)</w:t>
      </w:r>
      <w:r>
        <w:rPr>
          <w:rFonts w:ascii="Arial" w:hAnsi="Arial" w:cs="Arial"/>
          <w:color w:val="000000"/>
          <w:sz w:val="20"/>
          <w:szCs w:val="20"/>
        </w:rPr>
        <w:br/>
        <w:t>(Excluding Local Area Banks, Regional Rural Banks and Payments Banks)</w:t>
      </w:r>
    </w:p>
    <w:p w:rsidR="0001090D" w:rsidRDefault="0001090D" w:rsidP="0001090D">
      <w:pPr>
        <w:pStyle w:val="NormalWeb"/>
        <w:jc w:val="both"/>
        <w:rPr>
          <w:rFonts w:ascii="Arial" w:hAnsi="Arial" w:cs="Arial"/>
          <w:color w:val="000000"/>
          <w:sz w:val="20"/>
          <w:szCs w:val="20"/>
        </w:rPr>
      </w:pPr>
      <w:r>
        <w:rPr>
          <w:rFonts w:ascii="Arial" w:hAnsi="Arial" w:cs="Arial"/>
          <w:color w:val="000000"/>
          <w:sz w:val="20"/>
          <w:szCs w:val="20"/>
        </w:rPr>
        <w:t>Madam/Dear Sir,</w:t>
      </w:r>
    </w:p>
    <w:p w:rsidR="0001090D" w:rsidRDefault="0001090D" w:rsidP="0001090D">
      <w:pPr>
        <w:pStyle w:val="head"/>
        <w:jc w:val="both"/>
        <w:rPr>
          <w:rFonts w:ascii="Arial" w:hAnsi="Arial" w:cs="Arial"/>
          <w:b/>
          <w:bCs/>
          <w:color w:val="000000"/>
          <w:sz w:val="20"/>
          <w:szCs w:val="20"/>
        </w:rPr>
      </w:pPr>
      <w:r>
        <w:rPr>
          <w:rFonts w:ascii="Arial" w:hAnsi="Arial" w:cs="Arial"/>
          <w:b/>
          <w:bCs/>
          <w:color w:val="000000"/>
          <w:sz w:val="20"/>
          <w:szCs w:val="20"/>
        </w:rPr>
        <w:t>Review of Prudential Norms – Risk Weights for Exposures to Corporates and NBFCs</w:t>
      </w:r>
    </w:p>
    <w:p w:rsidR="0001090D" w:rsidRDefault="0001090D" w:rsidP="0001090D">
      <w:pPr>
        <w:pStyle w:val="NormalWeb"/>
        <w:jc w:val="both"/>
        <w:rPr>
          <w:rFonts w:ascii="Arial" w:hAnsi="Arial" w:cs="Arial"/>
          <w:color w:val="000000"/>
          <w:sz w:val="20"/>
          <w:szCs w:val="20"/>
        </w:rPr>
      </w:pPr>
      <w:r>
        <w:rPr>
          <w:rFonts w:ascii="Arial" w:hAnsi="Arial" w:cs="Arial"/>
          <w:color w:val="000000"/>
          <w:sz w:val="20"/>
          <w:szCs w:val="20"/>
        </w:rPr>
        <w:t>Please refer to paragraph 6.8.1 (i) of </w:t>
      </w:r>
      <w:hyperlink r:id="rId112" w:tgtFrame="_blank" w:history="1">
        <w:r>
          <w:rPr>
            <w:rStyle w:val="Hyperlink"/>
            <w:rFonts w:ascii="Arial" w:hAnsi="Arial" w:cs="Arial"/>
            <w:sz w:val="20"/>
            <w:szCs w:val="20"/>
          </w:rPr>
          <w:t>Master Circular on Basel III capital regulations dated April 1, 2022</w:t>
        </w:r>
      </w:hyperlink>
      <w:r>
        <w:rPr>
          <w:rFonts w:ascii="Arial" w:hAnsi="Arial" w:cs="Arial"/>
          <w:color w:val="000000"/>
          <w:sz w:val="20"/>
          <w:szCs w:val="20"/>
        </w:rPr>
        <w:t xml:space="preserve"> in terms of which banks are permitted to derive risk weights for their unrated exposures based on the ratings available for a specific rated debt subject to the conditions specified that the bank’s facility ranks </w:t>
      </w:r>
      <w:proofErr w:type="spellStart"/>
      <w:r>
        <w:rPr>
          <w:rFonts w:ascii="Arial" w:hAnsi="Arial" w:cs="Arial"/>
          <w:color w:val="000000"/>
          <w:sz w:val="20"/>
          <w:szCs w:val="20"/>
        </w:rPr>
        <w:t>pari</w:t>
      </w:r>
      <w:proofErr w:type="spellEnd"/>
      <w:r>
        <w:rPr>
          <w:rFonts w:ascii="Arial" w:hAnsi="Arial" w:cs="Arial"/>
          <w:color w:val="000000"/>
          <w:sz w:val="20"/>
          <w:szCs w:val="20"/>
        </w:rPr>
        <w:t xml:space="preserve"> </w:t>
      </w:r>
      <w:proofErr w:type="spellStart"/>
      <w:r>
        <w:rPr>
          <w:rFonts w:ascii="Arial" w:hAnsi="Arial" w:cs="Arial"/>
          <w:color w:val="000000"/>
          <w:sz w:val="20"/>
          <w:szCs w:val="20"/>
        </w:rPr>
        <w:t>passu</w:t>
      </w:r>
      <w:proofErr w:type="spellEnd"/>
      <w:r>
        <w:rPr>
          <w:rFonts w:ascii="Arial" w:hAnsi="Arial" w:cs="Arial"/>
          <w:color w:val="000000"/>
          <w:sz w:val="20"/>
          <w:szCs w:val="20"/>
        </w:rPr>
        <w:t xml:space="preserve"> or senior to the specific rated debt in all respects and the maturity of the unassessed claim is not later than the maturity of the rated claim. Banks may also refer to paragraph 6.2.5 of the Master Circular ibid regarding publication of bank loan ratings by External Credit Assessment Institutions (ECAIs).</w:t>
      </w:r>
    </w:p>
    <w:p w:rsidR="0001090D" w:rsidRDefault="0001090D" w:rsidP="0001090D">
      <w:pPr>
        <w:pStyle w:val="NormalWeb"/>
        <w:jc w:val="both"/>
        <w:rPr>
          <w:rFonts w:ascii="Arial" w:hAnsi="Arial" w:cs="Arial"/>
          <w:color w:val="000000"/>
          <w:sz w:val="20"/>
          <w:szCs w:val="20"/>
        </w:rPr>
      </w:pPr>
      <w:r>
        <w:rPr>
          <w:rFonts w:ascii="Arial" w:hAnsi="Arial" w:cs="Arial"/>
          <w:color w:val="000000"/>
          <w:sz w:val="20"/>
          <w:szCs w:val="20"/>
        </w:rPr>
        <w:t xml:space="preserve">2. It is observed that the Press Releases (PRs) issued by ECAIs on rating actions are often devoid of the lenders’ details. Absence of such information may result in banks applying the derived risk weights for unrated exposures, without satisfying themselves regarding adherence to prescribed conditions. This may, consequentially, lead to potentially lower provision of capital as well as </w:t>
      </w:r>
      <w:proofErr w:type="spellStart"/>
      <w:r>
        <w:rPr>
          <w:rFonts w:ascii="Arial" w:hAnsi="Arial" w:cs="Arial"/>
          <w:color w:val="000000"/>
          <w:sz w:val="20"/>
          <w:szCs w:val="20"/>
        </w:rPr>
        <w:t>underpricing</w:t>
      </w:r>
      <w:proofErr w:type="spellEnd"/>
      <w:r>
        <w:rPr>
          <w:rFonts w:ascii="Arial" w:hAnsi="Arial" w:cs="Arial"/>
          <w:color w:val="000000"/>
          <w:sz w:val="20"/>
          <w:szCs w:val="20"/>
        </w:rPr>
        <w:t xml:space="preserve"> of risks. In order to address the above information asymmetry, the Reserve Bank had advised the ECAIs vide letter dated June 4, 2021 to disclose the name of the banks and the corresponding credit facilities rated by them in the PRs issued on rating actions by August 31, 2021, after obtaining requisite consent from the borrowers.</w:t>
      </w:r>
    </w:p>
    <w:p w:rsidR="0001090D" w:rsidRDefault="0001090D" w:rsidP="0001090D">
      <w:pPr>
        <w:pStyle w:val="NormalWeb"/>
        <w:jc w:val="both"/>
        <w:rPr>
          <w:rFonts w:ascii="Arial" w:hAnsi="Arial" w:cs="Arial"/>
          <w:color w:val="000000"/>
          <w:sz w:val="20"/>
          <w:szCs w:val="20"/>
        </w:rPr>
      </w:pPr>
      <w:r>
        <w:rPr>
          <w:rFonts w:ascii="Arial" w:hAnsi="Arial" w:cs="Arial"/>
          <w:color w:val="000000"/>
          <w:sz w:val="20"/>
          <w:szCs w:val="20"/>
        </w:rPr>
        <w:t>3. However, on a review it has been observed that the above disclosures are not available in a large number of PRs issued by ECAIs owing to the absence of requisite consent by the borrowers to the ECAIs. It is, therefore, advised that a bank loan rating without the above disclosure by the ECAI shall not be eligible for being reckoned for capital computation by banks. Banks shall treat such exposures as unrated and assign applicable risk weights in terms of paragraph 5.8.1 of the Master Circular ibid read with amendments carried out from time to time.</w:t>
      </w:r>
    </w:p>
    <w:p w:rsidR="0001090D" w:rsidRDefault="0001090D" w:rsidP="0001090D">
      <w:pPr>
        <w:pStyle w:val="NormalWeb"/>
        <w:spacing w:after="0" w:afterAutospacing="0"/>
        <w:jc w:val="both"/>
        <w:rPr>
          <w:rFonts w:ascii="Arial" w:hAnsi="Arial" w:cs="Arial"/>
          <w:color w:val="000000"/>
          <w:sz w:val="20"/>
          <w:szCs w:val="20"/>
        </w:rPr>
      </w:pPr>
      <w:r>
        <w:rPr>
          <w:rFonts w:ascii="Arial" w:hAnsi="Arial" w:cs="Arial"/>
          <w:color w:val="000000"/>
          <w:sz w:val="20"/>
          <w:szCs w:val="20"/>
        </w:rPr>
        <w:t>Yours faithfully,</w:t>
      </w:r>
    </w:p>
    <w:p w:rsidR="0001090D" w:rsidRDefault="0001090D" w:rsidP="0001090D">
      <w:pPr>
        <w:pStyle w:val="NormalWeb"/>
        <w:rPr>
          <w:rFonts w:ascii="Arial" w:hAnsi="Arial" w:cs="Arial"/>
          <w:color w:val="000000"/>
          <w:sz w:val="20"/>
          <w:szCs w:val="20"/>
        </w:rPr>
      </w:pPr>
      <w:r>
        <w:rPr>
          <w:rFonts w:ascii="Arial" w:hAnsi="Arial" w:cs="Arial"/>
          <w:color w:val="000000"/>
          <w:sz w:val="20"/>
          <w:szCs w:val="20"/>
        </w:rPr>
        <w:t>(</w:t>
      </w:r>
      <w:proofErr w:type="spellStart"/>
      <w:r>
        <w:rPr>
          <w:rFonts w:ascii="Arial" w:hAnsi="Arial" w:cs="Arial"/>
          <w:color w:val="000000"/>
          <w:sz w:val="20"/>
          <w:szCs w:val="20"/>
        </w:rPr>
        <w:t>Manoranjan</w:t>
      </w:r>
      <w:proofErr w:type="spellEnd"/>
      <w:r>
        <w:rPr>
          <w:rFonts w:ascii="Arial" w:hAnsi="Arial" w:cs="Arial"/>
          <w:color w:val="000000"/>
          <w:sz w:val="20"/>
          <w:szCs w:val="20"/>
        </w:rPr>
        <w:t xml:space="preserve"> Mishra)</w:t>
      </w:r>
      <w:r>
        <w:rPr>
          <w:rFonts w:ascii="Arial" w:hAnsi="Arial" w:cs="Arial"/>
          <w:color w:val="000000"/>
          <w:sz w:val="20"/>
          <w:szCs w:val="20"/>
        </w:rPr>
        <w:br/>
        <w:t>Chief General Manager</w:t>
      </w:r>
    </w:p>
    <w:p w:rsidR="0001090D" w:rsidRDefault="0001090D" w:rsidP="0001090D">
      <w:pPr>
        <w:rPr>
          <w:rFonts w:ascii="Arial" w:hAnsi="Arial" w:cs="Arial"/>
          <w:sz w:val="20"/>
          <w:szCs w:val="20"/>
        </w:rPr>
      </w:pPr>
    </w:p>
    <w:p w:rsidR="0001090D" w:rsidRDefault="0001090D" w:rsidP="0001090D">
      <w:pPr>
        <w:rPr>
          <w:rFonts w:ascii="Arial" w:hAnsi="Arial" w:cs="Arial"/>
          <w:sz w:val="20"/>
          <w:szCs w:val="20"/>
        </w:rPr>
      </w:pPr>
    </w:p>
    <w:p w:rsidR="0001090D" w:rsidRDefault="0001090D" w:rsidP="0001090D">
      <w:r>
        <w:t>More details can be referred to in the below link.</w:t>
      </w:r>
    </w:p>
    <w:p w:rsidR="0001090D" w:rsidRDefault="0001090D" w:rsidP="0001090D">
      <w:pPr>
        <w:rPr>
          <w:rFonts w:ascii="Arial" w:hAnsi="Arial" w:cs="Arial"/>
          <w:bCs/>
          <w:color w:val="000000"/>
          <w:sz w:val="20"/>
          <w:szCs w:val="20"/>
        </w:rPr>
      </w:pPr>
      <w:r>
        <w:rPr>
          <w:rFonts w:ascii="Arial" w:hAnsi="Arial" w:cs="Arial"/>
          <w:bCs/>
          <w:color w:val="000000"/>
          <w:sz w:val="20"/>
          <w:szCs w:val="20"/>
        </w:rPr>
        <w:t xml:space="preserve">Reference Link: </w:t>
      </w:r>
      <w:hyperlink r:id="rId113" w:history="1">
        <w:r w:rsidRPr="00B27270">
          <w:rPr>
            <w:rStyle w:val="Hyperlink"/>
            <w:rFonts w:ascii="Arial" w:hAnsi="Arial" w:cs="Arial"/>
            <w:bCs/>
            <w:sz w:val="20"/>
            <w:szCs w:val="20"/>
          </w:rPr>
          <w:t>https://www.rbi.org.in/Scripts/NotificationUser.aspx?Id=12396&amp;Mode=0</w:t>
        </w:r>
      </w:hyperlink>
    </w:p>
    <w:p w:rsidR="0001090D" w:rsidRDefault="0001090D" w:rsidP="0001090D">
      <w:pPr>
        <w:rPr>
          <w:rFonts w:ascii="Arial" w:hAnsi="Arial" w:cs="Arial"/>
          <w:sz w:val="20"/>
          <w:szCs w:val="20"/>
        </w:rPr>
      </w:pPr>
    </w:p>
    <w:p w:rsidR="0001090D" w:rsidRDefault="0001090D" w:rsidP="0001090D">
      <w:pPr>
        <w:rPr>
          <w:rFonts w:ascii="Arial" w:hAnsi="Arial" w:cs="Arial"/>
          <w:sz w:val="20"/>
          <w:szCs w:val="20"/>
        </w:rPr>
      </w:pPr>
    </w:p>
    <w:p w:rsidR="0001090D" w:rsidRDefault="0001090D" w:rsidP="0001090D">
      <w:pPr>
        <w:rPr>
          <w:rFonts w:ascii="Arial" w:hAnsi="Arial" w:cs="Arial"/>
          <w:sz w:val="20"/>
          <w:szCs w:val="20"/>
        </w:rPr>
      </w:pPr>
    </w:p>
    <w:p w:rsidR="0001090D" w:rsidRDefault="0001090D" w:rsidP="0001090D">
      <w:pPr>
        <w:rPr>
          <w:rFonts w:ascii="Arial" w:hAnsi="Arial" w:cs="Arial"/>
          <w:bCs/>
          <w:color w:val="000000"/>
          <w:sz w:val="20"/>
          <w:szCs w:val="20"/>
        </w:rPr>
      </w:pPr>
    </w:p>
    <w:p w:rsidR="00C96881" w:rsidRDefault="00C96881" w:rsidP="00C96881">
      <w:pPr>
        <w:rPr>
          <w:rFonts w:ascii="Arial" w:hAnsi="Arial" w:cs="Arial"/>
          <w:b/>
          <w:bCs/>
          <w:color w:val="000000"/>
          <w:sz w:val="20"/>
          <w:szCs w:val="20"/>
        </w:rPr>
      </w:pPr>
      <w:r>
        <w:rPr>
          <w:rFonts w:ascii="Arial" w:hAnsi="Arial" w:cs="Arial"/>
          <w:b/>
          <w:bCs/>
          <w:color w:val="000000"/>
          <w:sz w:val="20"/>
          <w:szCs w:val="20"/>
        </w:rPr>
        <w:t>Diversification of activities by SPDs – Review of permissible non-core activities</w:t>
      </w:r>
    </w:p>
    <w:p w:rsidR="00C96881" w:rsidRDefault="00C96881" w:rsidP="00C96881">
      <w:pPr>
        <w:pStyle w:val="NormalWeb"/>
        <w:jc w:val="both"/>
        <w:rPr>
          <w:rFonts w:ascii="Arial" w:hAnsi="Arial" w:cs="Arial"/>
          <w:color w:val="000000"/>
          <w:sz w:val="20"/>
          <w:szCs w:val="20"/>
        </w:rPr>
      </w:pPr>
      <w:r>
        <w:rPr>
          <w:rFonts w:ascii="Arial" w:hAnsi="Arial" w:cs="Arial"/>
          <w:color w:val="000000"/>
          <w:sz w:val="20"/>
          <w:szCs w:val="20"/>
        </w:rPr>
        <w:t>RBI/2022-23/126</w:t>
      </w:r>
      <w:r>
        <w:rPr>
          <w:rFonts w:ascii="Arial" w:hAnsi="Arial" w:cs="Arial"/>
          <w:color w:val="000000"/>
          <w:sz w:val="20"/>
          <w:szCs w:val="20"/>
        </w:rPr>
        <w:br/>
        <w:t>DOR.FIN.REC.No.72/03.10.117/2022-23</w:t>
      </w:r>
    </w:p>
    <w:p w:rsidR="00C96881" w:rsidRDefault="00C96881" w:rsidP="00C96881">
      <w:pPr>
        <w:pStyle w:val="NormalWeb"/>
        <w:jc w:val="right"/>
        <w:rPr>
          <w:rFonts w:ascii="Arial" w:hAnsi="Arial" w:cs="Arial"/>
          <w:color w:val="000000"/>
          <w:sz w:val="20"/>
          <w:szCs w:val="20"/>
        </w:rPr>
      </w:pPr>
      <w:r>
        <w:rPr>
          <w:rFonts w:ascii="Arial" w:hAnsi="Arial" w:cs="Arial"/>
          <w:color w:val="000000"/>
          <w:sz w:val="20"/>
          <w:szCs w:val="20"/>
        </w:rPr>
        <w:t>October 11, 2022</w:t>
      </w:r>
    </w:p>
    <w:p w:rsidR="00C96881" w:rsidRDefault="00C96881" w:rsidP="00C96881">
      <w:pPr>
        <w:pStyle w:val="NormalWeb"/>
        <w:jc w:val="both"/>
        <w:rPr>
          <w:rFonts w:ascii="Arial" w:hAnsi="Arial" w:cs="Arial"/>
          <w:color w:val="000000"/>
          <w:sz w:val="20"/>
          <w:szCs w:val="20"/>
        </w:rPr>
      </w:pPr>
      <w:r>
        <w:rPr>
          <w:rFonts w:ascii="Arial" w:hAnsi="Arial" w:cs="Arial"/>
          <w:color w:val="000000"/>
          <w:sz w:val="20"/>
          <w:szCs w:val="20"/>
        </w:rPr>
        <w:t>All Standalone Primary Dealers (SPDs)</w:t>
      </w:r>
    </w:p>
    <w:p w:rsidR="00C96881" w:rsidRDefault="00C96881" w:rsidP="00C96881">
      <w:pPr>
        <w:pStyle w:val="NormalWeb"/>
        <w:jc w:val="both"/>
        <w:rPr>
          <w:rFonts w:ascii="Arial" w:hAnsi="Arial" w:cs="Arial"/>
          <w:color w:val="000000"/>
          <w:sz w:val="20"/>
          <w:szCs w:val="20"/>
        </w:rPr>
      </w:pPr>
      <w:r>
        <w:rPr>
          <w:rFonts w:ascii="Arial" w:hAnsi="Arial" w:cs="Arial"/>
          <w:color w:val="000000"/>
          <w:sz w:val="20"/>
          <w:szCs w:val="20"/>
        </w:rPr>
        <w:t>Dear Sir/ Madam,</w:t>
      </w:r>
    </w:p>
    <w:p w:rsidR="00C96881" w:rsidRDefault="00C96881" w:rsidP="00C96881">
      <w:pPr>
        <w:pStyle w:val="head"/>
        <w:jc w:val="both"/>
        <w:rPr>
          <w:rFonts w:ascii="Arial" w:hAnsi="Arial" w:cs="Arial"/>
          <w:b/>
          <w:bCs/>
          <w:color w:val="000000"/>
          <w:sz w:val="20"/>
          <w:szCs w:val="20"/>
        </w:rPr>
      </w:pPr>
      <w:r>
        <w:rPr>
          <w:rFonts w:ascii="Arial" w:hAnsi="Arial" w:cs="Arial"/>
          <w:b/>
          <w:bCs/>
          <w:color w:val="000000"/>
          <w:sz w:val="20"/>
          <w:szCs w:val="20"/>
        </w:rPr>
        <w:t>Diversification of activities by SPDs – Review of permissible non-core activities</w:t>
      </w:r>
    </w:p>
    <w:p w:rsidR="00C96881" w:rsidRDefault="00C96881" w:rsidP="00C96881">
      <w:pPr>
        <w:pStyle w:val="NormalWeb"/>
        <w:jc w:val="both"/>
        <w:rPr>
          <w:rFonts w:ascii="Arial" w:hAnsi="Arial" w:cs="Arial"/>
          <w:color w:val="000000"/>
          <w:sz w:val="20"/>
          <w:szCs w:val="20"/>
        </w:rPr>
      </w:pPr>
      <w:r>
        <w:rPr>
          <w:rFonts w:ascii="Arial" w:hAnsi="Arial" w:cs="Arial"/>
          <w:color w:val="000000"/>
          <w:sz w:val="20"/>
          <w:szCs w:val="20"/>
        </w:rPr>
        <w:t>A reference is invited to </w:t>
      </w:r>
      <w:hyperlink r:id="rId114" w:tgtFrame="_blank" w:history="1">
        <w:r>
          <w:rPr>
            <w:rStyle w:val="Hyperlink"/>
            <w:rFonts w:ascii="Arial" w:hAnsi="Arial" w:cs="Arial"/>
            <w:sz w:val="20"/>
            <w:szCs w:val="20"/>
          </w:rPr>
          <w:t>circular DNBR (PD) CC.No.094/03.10.001/2018-19 dated July 27, 2018</w:t>
        </w:r>
      </w:hyperlink>
      <w:r>
        <w:rPr>
          <w:rFonts w:ascii="Arial" w:hAnsi="Arial" w:cs="Arial"/>
          <w:color w:val="000000"/>
          <w:sz w:val="20"/>
          <w:szCs w:val="20"/>
        </w:rPr>
        <w:t> in terms of which SPDs, as part of their non-core activities, are permitted to offer foreign exchange products, as allowed from time to time, to their Foreign Portfolio Investor (FPI) clients.</w:t>
      </w:r>
    </w:p>
    <w:p w:rsidR="00C96881" w:rsidRDefault="00C96881" w:rsidP="00C96881">
      <w:pPr>
        <w:pStyle w:val="NormalWeb"/>
        <w:jc w:val="both"/>
        <w:rPr>
          <w:rFonts w:ascii="Arial" w:hAnsi="Arial" w:cs="Arial"/>
          <w:color w:val="000000"/>
          <w:sz w:val="20"/>
          <w:szCs w:val="20"/>
        </w:rPr>
      </w:pPr>
      <w:r>
        <w:rPr>
          <w:rFonts w:ascii="Arial" w:hAnsi="Arial" w:cs="Arial"/>
          <w:color w:val="000000"/>
          <w:sz w:val="20"/>
          <w:szCs w:val="20"/>
        </w:rPr>
        <w:t>2. As announced in the Statement on Developmental and Regulatory Policies (</w:t>
      </w:r>
      <w:hyperlink r:id="rId115" w:anchor="AN1" w:history="1">
        <w:r>
          <w:rPr>
            <w:rStyle w:val="Hyperlink"/>
            <w:rFonts w:ascii="Arial" w:hAnsi="Arial" w:cs="Arial"/>
            <w:sz w:val="20"/>
            <w:szCs w:val="20"/>
          </w:rPr>
          <w:t>Para 3 annexed</w:t>
        </w:r>
      </w:hyperlink>
      <w:r>
        <w:rPr>
          <w:rFonts w:ascii="Arial" w:hAnsi="Arial" w:cs="Arial"/>
          <w:color w:val="000000"/>
          <w:sz w:val="20"/>
          <w:szCs w:val="20"/>
        </w:rPr>
        <w:t>) dated August 05, 2022, it has been decided to allow SPDs to offer all foreign exchange market-making facilities to users, as currently permitted to Category-I Authorized Dealers, subject to adherence to the prudential regulations and other guidelines to be issued separately in this regard.</w:t>
      </w:r>
    </w:p>
    <w:p w:rsidR="00C96881" w:rsidRDefault="00C96881" w:rsidP="00C96881">
      <w:pPr>
        <w:pStyle w:val="NormalWeb"/>
        <w:jc w:val="both"/>
        <w:rPr>
          <w:rFonts w:ascii="Arial" w:hAnsi="Arial" w:cs="Arial"/>
          <w:color w:val="000000"/>
          <w:sz w:val="20"/>
          <w:szCs w:val="20"/>
        </w:rPr>
      </w:pPr>
      <w:r>
        <w:rPr>
          <w:rFonts w:ascii="Arial" w:hAnsi="Arial" w:cs="Arial"/>
          <w:color w:val="000000"/>
          <w:sz w:val="20"/>
          <w:szCs w:val="20"/>
        </w:rPr>
        <w:t>3. Further, with effect from January 01, 2023 all financial transactions involving the Rupee undertaken globally by related entities of the SPD shall be reported to CCIL’s Trade Repository before 12:00 noon of the business day following the date of transaction.</w:t>
      </w:r>
    </w:p>
    <w:p w:rsidR="00C96881" w:rsidRDefault="00C96881" w:rsidP="00C96881">
      <w:pPr>
        <w:pStyle w:val="NormalWeb"/>
        <w:jc w:val="both"/>
        <w:rPr>
          <w:rFonts w:ascii="Arial" w:hAnsi="Arial" w:cs="Arial"/>
          <w:color w:val="000000"/>
          <w:sz w:val="20"/>
          <w:szCs w:val="20"/>
        </w:rPr>
      </w:pPr>
      <w:r>
        <w:rPr>
          <w:rFonts w:ascii="Arial" w:hAnsi="Arial" w:cs="Arial"/>
          <w:color w:val="000000"/>
          <w:sz w:val="20"/>
          <w:szCs w:val="20"/>
        </w:rPr>
        <w:t>4. SPDs shall comply with other regulations contained in the aforementioned </w:t>
      </w:r>
      <w:hyperlink r:id="rId116" w:tgtFrame="_blank" w:history="1">
        <w:r>
          <w:rPr>
            <w:rStyle w:val="Hyperlink"/>
            <w:rFonts w:ascii="Arial" w:hAnsi="Arial" w:cs="Arial"/>
            <w:sz w:val="20"/>
            <w:szCs w:val="20"/>
          </w:rPr>
          <w:t>circular dated July 27, 2018</w:t>
        </w:r>
      </w:hyperlink>
      <w:r>
        <w:rPr>
          <w:rFonts w:ascii="Arial" w:hAnsi="Arial" w:cs="Arial"/>
          <w:color w:val="000000"/>
          <w:sz w:val="20"/>
          <w:szCs w:val="20"/>
        </w:rPr>
        <w:t> and prudential regulations issued by Reserve Bank from time to time. Further, all the instructions contained in the </w:t>
      </w:r>
      <w:hyperlink r:id="rId117" w:tgtFrame="_blank" w:history="1">
        <w:r>
          <w:rPr>
            <w:rStyle w:val="Hyperlink"/>
            <w:rFonts w:ascii="Arial" w:hAnsi="Arial" w:cs="Arial"/>
            <w:sz w:val="20"/>
            <w:szCs w:val="20"/>
          </w:rPr>
          <w:t>Master Direction – Reserve Bank of India (Market-makers in OTC Derivatives) Directions, 2021 (FMRD.FMD.07/02.03.247/2021-22) dated September 16, 2021</w:t>
        </w:r>
      </w:hyperlink>
      <w:r>
        <w:rPr>
          <w:rFonts w:ascii="Arial" w:hAnsi="Arial" w:cs="Arial"/>
          <w:color w:val="000000"/>
          <w:sz w:val="20"/>
          <w:szCs w:val="20"/>
        </w:rPr>
        <w:t> shall also apply, mutatis-mutandis, to SPDs.</w:t>
      </w:r>
    </w:p>
    <w:p w:rsidR="00C96881" w:rsidRDefault="00C96881" w:rsidP="00C96881">
      <w:pPr>
        <w:pStyle w:val="NormalWeb"/>
        <w:jc w:val="both"/>
        <w:rPr>
          <w:rFonts w:ascii="Arial" w:hAnsi="Arial" w:cs="Arial"/>
          <w:color w:val="000000"/>
          <w:sz w:val="20"/>
          <w:szCs w:val="20"/>
        </w:rPr>
      </w:pPr>
      <w:r>
        <w:rPr>
          <w:rFonts w:ascii="Arial" w:hAnsi="Arial" w:cs="Arial"/>
          <w:color w:val="000000"/>
          <w:sz w:val="20"/>
          <w:szCs w:val="20"/>
        </w:rPr>
        <w:t>5. The </w:t>
      </w:r>
      <w:hyperlink r:id="rId118" w:tgtFrame="_blank" w:history="1">
        <w:r>
          <w:rPr>
            <w:rStyle w:val="Hyperlink"/>
            <w:rFonts w:ascii="Arial" w:hAnsi="Arial" w:cs="Arial"/>
            <w:sz w:val="20"/>
            <w:szCs w:val="20"/>
          </w:rPr>
          <w:t>Master Direction – Standalone Primary Dealers (Reserve Bank) Directions, 2016</w:t>
        </w:r>
      </w:hyperlink>
      <w:r>
        <w:rPr>
          <w:rFonts w:ascii="Arial" w:hAnsi="Arial" w:cs="Arial"/>
          <w:color w:val="000000"/>
          <w:sz w:val="20"/>
          <w:szCs w:val="20"/>
        </w:rPr>
        <w:t>, is being modified accordingly.</w:t>
      </w:r>
    </w:p>
    <w:p w:rsidR="00C96881" w:rsidRDefault="00C96881" w:rsidP="00C96881">
      <w:pPr>
        <w:pStyle w:val="NormalWeb"/>
        <w:jc w:val="both"/>
        <w:rPr>
          <w:rFonts w:ascii="Arial" w:hAnsi="Arial" w:cs="Arial"/>
          <w:color w:val="000000"/>
          <w:sz w:val="20"/>
          <w:szCs w:val="20"/>
        </w:rPr>
      </w:pPr>
      <w:r>
        <w:rPr>
          <w:rFonts w:ascii="Arial" w:hAnsi="Arial" w:cs="Arial"/>
          <w:color w:val="000000"/>
          <w:sz w:val="20"/>
          <w:szCs w:val="20"/>
        </w:rPr>
        <w:t>Yours faithfully,</w:t>
      </w:r>
    </w:p>
    <w:p w:rsidR="00C96881" w:rsidRDefault="00C96881" w:rsidP="00C96881">
      <w:pPr>
        <w:pStyle w:val="NormalWeb"/>
        <w:rPr>
          <w:rFonts w:ascii="Arial" w:hAnsi="Arial" w:cs="Arial"/>
          <w:color w:val="000000"/>
          <w:sz w:val="20"/>
          <w:szCs w:val="20"/>
        </w:rPr>
      </w:pPr>
      <w:r>
        <w:rPr>
          <w:rFonts w:ascii="Arial" w:hAnsi="Arial" w:cs="Arial"/>
          <w:color w:val="000000"/>
          <w:sz w:val="20"/>
          <w:szCs w:val="20"/>
        </w:rPr>
        <w:t>(J.P. Sharma)</w:t>
      </w:r>
      <w:r>
        <w:rPr>
          <w:rFonts w:ascii="Arial" w:hAnsi="Arial" w:cs="Arial"/>
          <w:color w:val="000000"/>
          <w:sz w:val="20"/>
          <w:szCs w:val="20"/>
        </w:rPr>
        <w:br/>
        <w:t>Chief General Manager</w:t>
      </w:r>
    </w:p>
    <w:p w:rsidR="00C96881" w:rsidRDefault="00C96881" w:rsidP="00C96881">
      <w:pPr>
        <w:rPr>
          <w:rFonts w:ascii="Arial" w:hAnsi="Arial" w:cs="Arial"/>
          <w:b/>
          <w:bCs/>
          <w:color w:val="000000"/>
          <w:sz w:val="20"/>
          <w:szCs w:val="20"/>
        </w:rPr>
      </w:pPr>
    </w:p>
    <w:p w:rsidR="00C96881" w:rsidRDefault="00C96881" w:rsidP="00C96881">
      <w:r>
        <w:t>More details can be referred to in the below link.</w:t>
      </w:r>
    </w:p>
    <w:p w:rsidR="00C96881" w:rsidRDefault="00C96881" w:rsidP="00C96881">
      <w:pPr>
        <w:rPr>
          <w:rFonts w:ascii="Arial" w:hAnsi="Arial" w:cs="Arial"/>
          <w:bCs/>
          <w:color w:val="000000"/>
          <w:sz w:val="20"/>
          <w:szCs w:val="20"/>
        </w:rPr>
      </w:pPr>
      <w:r>
        <w:rPr>
          <w:rFonts w:ascii="Arial" w:hAnsi="Arial" w:cs="Arial"/>
          <w:bCs/>
          <w:color w:val="000000"/>
          <w:sz w:val="20"/>
          <w:szCs w:val="20"/>
        </w:rPr>
        <w:t xml:space="preserve">Reference Link: </w:t>
      </w:r>
      <w:hyperlink r:id="rId119" w:history="1">
        <w:r w:rsidRPr="009A1791">
          <w:rPr>
            <w:rStyle w:val="Hyperlink"/>
            <w:rFonts w:ascii="Arial" w:hAnsi="Arial" w:cs="Arial"/>
            <w:bCs/>
            <w:sz w:val="20"/>
            <w:szCs w:val="20"/>
          </w:rPr>
          <w:t>https://www.rbi.org.in/scripts/NotificationUser.aspx?Id=12397&amp;Mode=0</w:t>
        </w:r>
      </w:hyperlink>
    </w:p>
    <w:p w:rsidR="00C96881" w:rsidRDefault="00C96881" w:rsidP="00C96881">
      <w:pPr>
        <w:rPr>
          <w:rFonts w:ascii="Arial" w:hAnsi="Arial" w:cs="Arial"/>
          <w:b/>
          <w:bCs/>
          <w:color w:val="000000"/>
          <w:sz w:val="20"/>
          <w:szCs w:val="20"/>
        </w:rPr>
      </w:pPr>
    </w:p>
    <w:p w:rsidR="00C96881" w:rsidRDefault="00C96881" w:rsidP="00C96881">
      <w:pPr>
        <w:rPr>
          <w:rFonts w:ascii="Arial" w:hAnsi="Arial" w:cs="Arial"/>
          <w:b/>
          <w:bCs/>
          <w:color w:val="000000"/>
          <w:sz w:val="20"/>
          <w:szCs w:val="20"/>
        </w:rPr>
      </w:pPr>
    </w:p>
    <w:p w:rsidR="00C96881" w:rsidRDefault="00C96881" w:rsidP="00C96881">
      <w:pPr>
        <w:rPr>
          <w:rFonts w:ascii="Arial" w:hAnsi="Arial" w:cs="Arial"/>
          <w:b/>
          <w:bCs/>
          <w:color w:val="000000"/>
          <w:sz w:val="20"/>
          <w:szCs w:val="20"/>
        </w:rPr>
      </w:pPr>
    </w:p>
    <w:p w:rsidR="00C96881" w:rsidRDefault="00C96881" w:rsidP="00C96881">
      <w:pPr>
        <w:rPr>
          <w:rFonts w:ascii="Arial" w:hAnsi="Arial" w:cs="Arial"/>
          <w:b/>
          <w:bCs/>
          <w:color w:val="000000"/>
          <w:sz w:val="20"/>
          <w:szCs w:val="20"/>
        </w:rPr>
      </w:pPr>
    </w:p>
    <w:p w:rsidR="00C96881" w:rsidRDefault="00C96881" w:rsidP="00C96881">
      <w:pPr>
        <w:rPr>
          <w:rFonts w:ascii="Arial" w:hAnsi="Arial" w:cs="Arial"/>
          <w:b/>
          <w:bCs/>
          <w:color w:val="000000"/>
          <w:sz w:val="20"/>
          <w:szCs w:val="20"/>
        </w:rPr>
      </w:pPr>
    </w:p>
    <w:p w:rsidR="00C96881" w:rsidRDefault="00C96881" w:rsidP="00C96881">
      <w:pPr>
        <w:rPr>
          <w:rFonts w:ascii="Arial" w:hAnsi="Arial" w:cs="Arial"/>
          <w:b/>
          <w:bCs/>
          <w:color w:val="000000"/>
          <w:sz w:val="20"/>
          <w:szCs w:val="20"/>
        </w:rPr>
      </w:pPr>
    </w:p>
    <w:p w:rsidR="00C96881" w:rsidRDefault="00C96881" w:rsidP="0001090D">
      <w:pPr>
        <w:rPr>
          <w:rFonts w:ascii="Arial" w:hAnsi="Arial" w:cs="Arial"/>
          <w:bCs/>
          <w:color w:val="000000"/>
          <w:sz w:val="20"/>
          <w:szCs w:val="20"/>
        </w:rPr>
      </w:pPr>
    </w:p>
    <w:p w:rsidR="00C96881" w:rsidRDefault="00C96881" w:rsidP="00C96881">
      <w:pPr>
        <w:rPr>
          <w:rFonts w:ascii="Arial" w:hAnsi="Arial" w:cs="Arial"/>
          <w:b/>
          <w:bCs/>
          <w:color w:val="000000"/>
          <w:sz w:val="20"/>
          <w:szCs w:val="20"/>
        </w:rPr>
      </w:pPr>
      <w:r>
        <w:rPr>
          <w:rFonts w:ascii="Arial" w:hAnsi="Arial" w:cs="Arial"/>
          <w:b/>
          <w:bCs/>
          <w:color w:val="000000"/>
          <w:sz w:val="20"/>
          <w:szCs w:val="20"/>
        </w:rPr>
        <w:t>Diversification of activities by SPDs – Review of permissible non-core activities – Prudential regulations and other instructions</w:t>
      </w:r>
    </w:p>
    <w:p w:rsidR="00C96881" w:rsidRDefault="00C96881" w:rsidP="00C96881">
      <w:pPr>
        <w:pStyle w:val="NormalWeb"/>
        <w:jc w:val="both"/>
        <w:rPr>
          <w:rFonts w:ascii="Arial" w:hAnsi="Arial" w:cs="Arial"/>
          <w:color w:val="000000"/>
          <w:sz w:val="20"/>
          <w:szCs w:val="20"/>
        </w:rPr>
      </w:pPr>
      <w:r>
        <w:rPr>
          <w:rFonts w:ascii="Arial" w:hAnsi="Arial" w:cs="Arial"/>
          <w:color w:val="000000"/>
          <w:sz w:val="20"/>
          <w:szCs w:val="20"/>
        </w:rPr>
        <w:t>RBI/2022-23/127</w:t>
      </w:r>
      <w:r>
        <w:rPr>
          <w:rFonts w:ascii="Arial" w:hAnsi="Arial" w:cs="Arial"/>
          <w:color w:val="000000"/>
          <w:sz w:val="20"/>
          <w:szCs w:val="20"/>
        </w:rPr>
        <w:br/>
        <w:t>DOR.FIN.REC.No.73/03.10.117/2022-23</w:t>
      </w:r>
    </w:p>
    <w:p w:rsidR="00C96881" w:rsidRDefault="00C96881" w:rsidP="00C96881">
      <w:pPr>
        <w:pStyle w:val="NormalWeb"/>
        <w:jc w:val="right"/>
        <w:rPr>
          <w:rFonts w:ascii="Arial" w:hAnsi="Arial" w:cs="Arial"/>
          <w:color w:val="000000"/>
          <w:sz w:val="20"/>
          <w:szCs w:val="20"/>
        </w:rPr>
      </w:pPr>
      <w:r>
        <w:rPr>
          <w:rFonts w:ascii="Arial" w:hAnsi="Arial" w:cs="Arial"/>
          <w:color w:val="000000"/>
          <w:sz w:val="20"/>
          <w:szCs w:val="20"/>
        </w:rPr>
        <w:t>October 11, 2022</w:t>
      </w:r>
    </w:p>
    <w:p w:rsidR="00C96881" w:rsidRDefault="00C96881" w:rsidP="00C96881">
      <w:pPr>
        <w:pStyle w:val="NormalWeb"/>
        <w:jc w:val="both"/>
        <w:rPr>
          <w:rFonts w:ascii="Arial" w:hAnsi="Arial" w:cs="Arial"/>
          <w:color w:val="000000"/>
          <w:sz w:val="20"/>
          <w:szCs w:val="20"/>
        </w:rPr>
      </w:pPr>
      <w:r>
        <w:rPr>
          <w:rFonts w:ascii="Arial" w:hAnsi="Arial" w:cs="Arial"/>
          <w:color w:val="000000"/>
          <w:sz w:val="20"/>
          <w:szCs w:val="20"/>
        </w:rPr>
        <w:t>All Standalone Primary Dealers (SPDs)</w:t>
      </w:r>
    </w:p>
    <w:p w:rsidR="00C96881" w:rsidRDefault="00C96881" w:rsidP="00C96881">
      <w:pPr>
        <w:pStyle w:val="NormalWeb"/>
        <w:jc w:val="both"/>
        <w:rPr>
          <w:rFonts w:ascii="Arial" w:hAnsi="Arial" w:cs="Arial"/>
          <w:color w:val="000000"/>
          <w:sz w:val="20"/>
          <w:szCs w:val="20"/>
        </w:rPr>
      </w:pPr>
      <w:r>
        <w:rPr>
          <w:rFonts w:ascii="Arial" w:hAnsi="Arial" w:cs="Arial"/>
          <w:color w:val="000000"/>
          <w:sz w:val="20"/>
          <w:szCs w:val="20"/>
        </w:rPr>
        <w:t>Dear Sir/ Madam,</w:t>
      </w:r>
    </w:p>
    <w:p w:rsidR="00C96881" w:rsidRDefault="00C96881" w:rsidP="00C96881">
      <w:pPr>
        <w:pStyle w:val="head"/>
        <w:jc w:val="both"/>
        <w:rPr>
          <w:rFonts w:ascii="Arial" w:hAnsi="Arial" w:cs="Arial"/>
          <w:b/>
          <w:bCs/>
          <w:color w:val="000000"/>
          <w:sz w:val="20"/>
          <w:szCs w:val="20"/>
        </w:rPr>
      </w:pPr>
      <w:r>
        <w:rPr>
          <w:rFonts w:ascii="Arial" w:hAnsi="Arial" w:cs="Arial"/>
          <w:b/>
          <w:bCs/>
          <w:color w:val="000000"/>
          <w:sz w:val="20"/>
          <w:szCs w:val="20"/>
        </w:rPr>
        <w:t>Diversification of activities by SPDs – Review of permissible non-core activities – Prudential regulations and other instructions</w:t>
      </w:r>
    </w:p>
    <w:p w:rsidR="00C96881" w:rsidRDefault="00C96881" w:rsidP="00C96881">
      <w:pPr>
        <w:pStyle w:val="NormalWeb"/>
        <w:jc w:val="both"/>
        <w:rPr>
          <w:rFonts w:ascii="Arial" w:hAnsi="Arial" w:cs="Arial"/>
          <w:color w:val="000000"/>
          <w:sz w:val="20"/>
          <w:szCs w:val="20"/>
        </w:rPr>
      </w:pPr>
      <w:r>
        <w:rPr>
          <w:rFonts w:ascii="Arial" w:hAnsi="Arial" w:cs="Arial"/>
          <w:color w:val="000000"/>
          <w:sz w:val="20"/>
          <w:szCs w:val="20"/>
        </w:rPr>
        <w:t>Please refer to the </w:t>
      </w:r>
      <w:hyperlink r:id="rId120" w:tgtFrame="_blank" w:history="1">
        <w:r>
          <w:rPr>
            <w:rStyle w:val="Hyperlink"/>
            <w:rFonts w:ascii="Arial" w:hAnsi="Arial" w:cs="Arial"/>
            <w:sz w:val="20"/>
            <w:szCs w:val="20"/>
          </w:rPr>
          <w:t>circular DOR.FIN.REC.No.72/03.10.117/2022-23 dated October 11, 2022</w:t>
        </w:r>
      </w:hyperlink>
      <w:r>
        <w:rPr>
          <w:rFonts w:ascii="Arial" w:hAnsi="Arial" w:cs="Arial"/>
          <w:color w:val="000000"/>
          <w:sz w:val="20"/>
          <w:szCs w:val="20"/>
        </w:rPr>
        <w:t> allowing SPDs to undertake foreign exchange activities as part of their non-core activities. In this connection, SPDs shall adhere to the prudential regulations and other instructions contained in this circular and other associated guidelines applicable to SPDs.</w:t>
      </w:r>
    </w:p>
    <w:p w:rsidR="00C96881" w:rsidRDefault="00C96881" w:rsidP="00C96881">
      <w:pPr>
        <w:pStyle w:val="NormalWeb"/>
        <w:jc w:val="both"/>
        <w:rPr>
          <w:rFonts w:ascii="Arial" w:hAnsi="Arial" w:cs="Arial"/>
          <w:color w:val="000000"/>
          <w:sz w:val="20"/>
          <w:szCs w:val="20"/>
        </w:rPr>
      </w:pPr>
      <w:r>
        <w:rPr>
          <w:rFonts w:ascii="Arial" w:hAnsi="Arial" w:cs="Arial"/>
          <w:color w:val="000000"/>
          <w:sz w:val="20"/>
          <w:szCs w:val="20"/>
        </w:rPr>
        <w:t>2. The foreign exchange activities permitted to SPDs shall continue to be part of their non-core activity. SPDs desirous of undertaking this activity may approach the Reserve Bank of India, Foreign Exchange Department, Central Office, Mumbai for necessary authorization. It may be noted that in case of failure of SPDs to meet the obligations of Primary Dealership (PD) business in the Government securities market or any other violations on regulations on conducting the PD business, the Reserve Bank reserves the right to impose restrictions or withdraw permission to undertake the foreign exchange business.</w:t>
      </w:r>
    </w:p>
    <w:p w:rsidR="00C96881" w:rsidRDefault="00C96881" w:rsidP="00C96881">
      <w:pPr>
        <w:pStyle w:val="NormalWeb"/>
        <w:jc w:val="both"/>
        <w:rPr>
          <w:rFonts w:ascii="Arial" w:hAnsi="Arial" w:cs="Arial"/>
          <w:color w:val="000000"/>
          <w:sz w:val="20"/>
          <w:szCs w:val="20"/>
        </w:rPr>
      </w:pPr>
      <w:r>
        <w:rPr>
          <w:rFonts w:ascii="Arial" w:hAnsi="Arial" w:cs="Arial"/>
          <w:color w:val="000000"/>
          <w:sz w:val="20"/>
          <w:szCs w:val="20"/>
        </w:rPr>
        <w:t>3. The SPDs shall adhere to the following prudential regulations:</w:t>
      </w:r>
    </w:p>
    <w:p w:rsidR="00C96881" w:rsidRDefault="00C96881" w:rsidP="00DA1141">
      <w:pPr>
        <w:pStyle w:val="NormalWeb"/>
        <w:numPr>
          <w:ilvl w:val="0"/>
          <w:numId w:val="13"/>
        </w:numPr>
        <w:ind w:left="0"/>
        <w:jc w:val="both"/>
        <w:rPr>
          <w:rFonts w:ascii="Arial" w:hAnsi="Arial" w:cs="Arial"/>
          <w:color w:val="000000"/>
          <w:sz w:val="20"/>
          <w:szCs w:val="20"/>
        </w:rPr>
      </w:pPr>
      <w:r>
        <w:rPr>
          <w:rFonts w:ascii="Arial" w:hAnsi="Arial" w:cs="Arial"/>
          <w:color w:val="000000"/>
          <w:sz w:val="20"/>
          <w:szCs w:val="20"/>
        </w:rPr>
        <w:t>As prescribed in the existing capital adequacy guidelines for SPDs, the capital charge for market risk in foreign exchange exposures shall be higher of the charges worked out by the standardised approach and the internal risk management framework-based Value at Risk (</w:t>
      </w:r>
      <w:proofErr w:type="spellStart"/>
      <w:r>
        <w:rPr>
          <w:rFonts w:ascii="Arial" w:hAnsi="Arial" w:cs="Arial"/>
          <w:color w:val="000000"/>
          <w:sz w:val="20"/>
          <w:szCs w:val="20"/>
        </w:rPr>
        <w:t>VaR</w:t>
      </w:r>
      <w:proofErr w:type="spellEnd"/>
      <w:r>
        <w:rPr>
          <w:rFonts w:ascii="Arial" w:hAnsi="Arial" w:cs="Arial"/>
          <w:color w:val="000000"/>
          <w:sz w:val="20"/>
          <w:szCs w:val="20"/>
        </w:rPr>
        <w:t>) model. Further, under the standardised approach, SPDs shall maintain a market risk capital charge of 15% for net open positions (limits or actual, whichever is higher) arising out of forex business with a risk weight of 100%. The net open position for foreign exchange exposures shall be calculated as per the methodology prescribed in para 8.5 of </w:t>
      </w:r>
      <w:hyperlink r:id="rId121" w:tgtFrame="_blank" w:history="1">
        <w:r>
          <w:rPr>
            <w:rStyle w:val="Hyperlink"/>
            <w:rFonts w:ascii="Arial" w:hAnsi="Arial" w:cs="Arial"/>
            <w:sz w:val="20"/>
            <w:szCs w:val="20"/>
          </w:rPr>
          <w:t>Master Circular – Basel III Capital Regulations dated April 01, 2022</w:t>
        </w:r>
      </w:hyperlink>
      <w:r>
        <w:rPr>
          <w:rFonts w:ascii="Arial" w:hAnsi="Arial" w:cs="Arial"/>
          <w:color w:val="000000"/>
          <w:sz w:val="20"/>
          <w:szCs w:val="20"/>
        </w:rPr>
        <w:t> (as amended from time to time) to the extent applicable to SPDs. Capital charge for market risk shall be over &amp; above the capital charge for credit risk of 15% as per directions prescribed in </w:t>
      </w:r>
      <w:hyperlink r:id="rId122" w:tgtFrame="_blank" w:history="1">
        <w:r>
          <w:rPr>
            <w:rStyle w:val="Hyperlink"/>
            <w:rFonts w:ascii="Arial" w:hAnsi="Arial" w:cs="Arial"/>
            <w:sz w:val="20"/>
            <w:szCs w:val="20"/>
          </w:rPr>
          <w:t>Master Directions – Standalone Primary Dealers (Reserve Bank) Directions, 2016 dated August 23, 2016</w:t>
        </w:r>
      </w:hyperlink>
      <w:r>
        <w:rPr>
          <w:rFonts w:ascii="Arial" w:hAnsi="Arial" w:cs="Arial"/>
          <w:color w:val="000000"/>
          <w:sz w:val="20"/>
          <w:szCs w:val="20"/>
        </w:rPr>
        <w:t> (as amended from time to time).</w:t>
      </w:r>
    </w:p>
    <w:p w:rsidR="00C96881" w:rsidRDefault="00C96881" w:rsidP="00DA1141">
      <w:pPr>
        <w:pStyle w:val="NormalWeb"/>
        <w:numPr>
          <w:ilvl w:val="0"/>
          <w:numId w:val="13"/>
        </w:numPr>
        <w:ind w:left="0"/>
        <w:jc w:val="both"/>
        <w:rPr>
          <w:rFonts w:ascii="Arial" w:hAnsi="Arial" w:cs="Arial"/>
          <w:color w:val="000000"/>
          <w:sz w:val="20"/>
          <w:szCs w:val="20"/>
        </w:rPr>
      </w:pPr>
      <w:r>
        <w:rPr>
          <w:rFonts w:ascii="Arial" w:hAnsi="Arial" w:cs="Arial"/>
          <w:color w:val="000000"/>
          <w:sz w:val="20"/>
          <w:szCs w:val="20"/>
        </w:rPr>
        <w:t>In addition to the foreign exchange exposure limits prescribed under </w:t>
      </w:r>
      <w:hyperlink r:id="rId123" w:tgtFrame="_blank" w:history="1">
        <w:r>
          <w:rPr>
            <w:rStyle w:val="Hyperlink"/>
            <w:rFonts w:ascii="Arial" w:hAnsi="Arial" w:cs="Arial"/>
            <w:sz w:val="20"/>
            <w:szCs w:val="20"/>
          </w:rPr>
          <w:t>Master Direction – Risk Management &amp; Inter-Bank Dealings dated July 05, 2016</w:t>
        </w:r>
      </w:hyperlink>
      <w:r>
        <w:rPr>
          <w:rFonts w:ascii="Arial" w:hAnsi="Arial" w:cs="Arial"/>
          <w:color w:val="000000"/>
          <w:sz w:val="20"/>
          <w:szCs w:val="20"/>
        </w:rPr>
        <w:t> (as amended from time to time), the capital charge for market risk (calculated as per provisions of </w:t>
      </w:r>
      <w:hyperlink r:id="rId124" w:tgtFrame="_blank" w:history="1">
        <w:r>
          <w:rPr>
            <w:rStyle w:val="Hyperlink"/>
            <w:rFonts w:ascii="Arial" w:hAnsi="Arial" w:cs="Arial"/>
            <w:sz w:val="20"/>
            <w:szCs w:val="20"/>
          </w:rPr>
          <w:t>Master Direction – Standalone Primary Dealers (Reserve Bank) Directions, 2016</w:t>
        </w:r>
      </w:hyperlink>
      <w:r>
        <w:rPr>
          <w:rFonts w:ascii="Arial" w:hAnsi="Arial" w:cs="Arial"/>
          <w:color w:val="000000"/>
          <w:sz w:val="20"/>
          <w:szCs w:val="20"/>
        </w:rPr>
        <w:t>) for all the permissible non-core activities, including foreign exchange activities, shall not be more than 20% of the Net Owned Fund of the SPD as per last audited balance sheet.</w:t>
      </w:r>
    </w:p>
    <w:p w:rsidR="00C96881" w:rsidRDefault="00C96881" w:rsidP="00C96881">
      <w:pPr>
        <w:pStyle w:val="NormalWeb"/>
        <w:jc w:val="both"/>
        <w:rPr>
          <w:rFonts w:ascii="Arial" w:hAnsi="Arial" w:cs="Arial"/>
          <w:color w:val="000000"/>
          <w:sz w:val="20"/>
          <w:szCs w:val="20"/>
        </w:rPr>
      </w:pPr>
      <w:r>
        <w:rPr>
          <w:rFonts w:ascii="Arial" w:hAnsi="Arial" w:cs="Arial"/>
          <w:color w:val="000000"/>
          <w:sz w:val="20"/>
          <w:szCs w:val="20"/>
        </w:rPr>
        <w:t>Yours faithfully,</w:t>
      </w:r>
    </w:p>
    <w:p w:rsidR="00C96881" w:rsidRDefault="00C96881" w:rsidP="00C96881">
      <w:pPr>
        <w:pStyle w:val="NormalWeb"/>
        <w:rPr>
          <w:rFonts w:ascii="Arial" w:hAnsi="Arial" w:cs="Arial"/>
          <w:color w:val="000000"/>
          <w:sz w:val="20"/>
          <w:szCs w:val="20"/>
        </w:rPr>
      </w:pPr>
      <w:r>
        <w:rPr>
          <w:rFonts w:ascii="Arial" w:hAnsi="Arial" w:cs="Arial"/>
          <w:color w:val="000000"/>
          <w:sz w:val="20"/>
          <w:szCs w:val="20"/>
        </w:rPr>
        <w:t>(J.P. Sharma)</w:t>
      </w:r>
      <w:r>
        <w:rPr>
          <w:rFonts w:ascii="Arial" w:hAnsi="Arial" w:cs="Arial"/>
          <w:color w:val="000000"/>
          <w:sz w:val="20"/>
          <w:szCs w:val="20"/>
        </w:rPr>
        <w:br/>
        <w:t>Chief General Manager</w:t>
      </w:r>
    </w:p>
    <w:p w:rsidR="00C96881" w:rsidRDefault="00C96881" w:rsidP="00C96881">
      <w:pPr>
        <w:rPr>
          <w:rFonts w:ascii="Arial" w:hAnsi="Arial" w:cs="Arial"/>
          <w:sz w:val="20"/>
          <w:szCs w:val="20"/>
        </w:rPr>
      </w:pPr>
    </w:p>
    <w:p w:rsidR="00C96881" w:rsidRDefault="00C96881" w:rsidP="00C96881">
      <w:r>
        <w:lastRenderedPageBreak/>
        <w:t>More details can be referred to in the below link.</w:t>
      </w:r>
    </w:p>
    <w:p w:rsidR="00C96881" w:rsidRDefault="00C96881" w:rsidP="00C96881">
      <w:pPr>
        <w:rPr>
          <w:rStyle w:val="Hyperlink"/>
          <w:rFonts w:ascii="Arial" w:hAnsi="Arial" w:cs="Arial"/>
          <w:bCs/>
          <w:sz w:val="20"/>
          <w:szCs w:val="20"/>
        </w:rPr>
      </w:pPr>
      <w:r>
        <w:rPr>
          <w:rFonts w:ascii="Arial" w:hAnsi="Arial" w:cs="Arial"/>
          <w:bCs/>
          <w:color w:val="000000"/>
          <w:sz w:val="20"/>
          <w:szCs w:val="20"/>
        </w:rPr>
        <w:t xml:space="preserve">Reference Link: </w:t>
      </w:r>
      <w:hyperlink r:id="rId125" w:history="1">
        <w:r w:rsidRPr="009A1791">
          <w:rPr>
            <w:rStyle w:val="Hyperlink"/>
            <w:rFonts w:ascii="Arial" w:hAnsi="Arial" w:cs="Arial"/>
            <w:bCs/>
            <w:sz w:val="20"/>
            <w:szCs w:val="20"/>
          </w:rPr>
          <w:t>https://m.rbi.org.in/scripts/FS_Notification.aspx?Id=12398&amp;fn=6&amp;Mode=0</w:t>
        </w:r>
      </w:hyperlink>
    </w:p>
    <w:p w:rsidR="00C96881" w:rsidRDefault="00C96881" w:rsidP="00C96881">
      <w:pPr>
        <w:rPr>
          <w:rFonts w:ascii="Arial" w:hAnsi="Arial" w:cs="Arial"/>
          <w:b/>
          <w:bCs/>
          <w:color w:val="000000"/>
          <w:sz w:val="20"/>
          <w:szCs w:val="20"/>
        </w:rPr>
      </w:pPr>
      <w:r>
        <w:rPr>
          <w:rFonts w:ascii="Arial" w:hAnsi="Arial" w:cs="Arial"/>
          <w:b/>
          <w:bCs/>
          <w:color w:val="000000"/>
          <w:sz w:val="20"/>
          <w:szCs w:val="20"/>
        </w:rPr>
        <w:t>Review of Regulatory Framework for Asset Reconstruction Companies (ARCs)</w:t>
      </w:r>
    </w:p>
    <w:p w:rsidR="00C96881" w:rsidRDefault="00C96881" w:rsidP="00C96881">
      <w:pPr>
        <w:pStyle w:val="NormalWeb"/>
        <w:jc w:val="both"/>
        <w:rPr>
          <w:rFonts w:ascii="Arial" w:hAnsi="Arial" w:cs="Arial"/>
          <w:color w:val="000000"/>
          <w:sz w:val="20"/>
          <w:szCs w:val="20"/>
        </w:rPr>
      </w:pPr>
      <w:r>
        <w:rPr>
          <w:rFonts w:ascii="Arial" w:hAnsi="Arial" w:cs="Arial"/>
          <w:color w:val="000000"/>
          <w:sz w:val="20"/>
          <w:szCs w:val="20"/>
        </w:rPr>
        <w:t>RBI/2022-23/128</w:t>
      </w:r>
      <w:r>
        <w:rPr>
          <w:rFonts w:ascii="Arial" w:hAnsi="Arial" w:cs="Arial"/>
          <w:color w:val="000000"/>
          <w:sz w:val="20"/>
          <w:szCs w:val="20"/>
        </w:rPr>
        <w:br/>
        <w:t>DoR.SIG.FIN.REC.75/26.03.001/2022-23</w:t>
      </w:r>
    </w:p>
    <w:p w:rsidR="00C96881" w:rsidRDefault="00C96881" w:rsidP="00C96881">
      <w:pPr>
        <w:pStyle w:val="NormalWeb"/>
        <w:jc w:val="right"/>
        <w:rPr>
          <w:rFonts w:ascii="Arial" w:hAnsi="Arial" w:cs="Arial"/>
          <w:color w:val="000000"/>
          <w:sz w:val="20"/>
          <w:szCs w:val="20"/>
        </w:rPr>
      </w:pPr>
      <w:r>
        <w:rPr>
          <w:rFonts w:ascii="Arial" w:hAnsi="Arial" w:cs="Arial"/>
          <w:color w:val="000000"/>
          <w:sz w:val="20"/>
          <w:szCs w:val="20"/>
        </w:rPr>
        <w:t>October 11, 2022</w:t>
      </w:r>
    </w:p>
    <w:p w:rsidR="00C96881" w:rsidRDefault="00C96881" w:rsidP="00C96881">
      <w:pPr>
        <w:pStyle w:val="NormalWeb"/>
        <w:jc w:val="both"/>
        <w:rPr>
          <w:rFonts w:ascii="Arial" w:hAnsi="Arial" w:cs="Arial"/>
          <w:color w:val="000000"/>
          <w:sz w:val="20"/>
          <w:szCs w:val="20"/>
        </w:rPr>
      </w:pPr>
      <w:r>
        <w:rPr>
          <w:rFonts w:ascii="Arial" w:hAnsi="Arial" w:cs="Arial"/>
          <w:color w:val="000000"/>
          <w:sz w:val="20"/>
          <w:szCs w:val="20"/>
        </w:rPr>
        <w:t>All Asset Reconstruction Companies</w:t>
      </w:r>
    </w:p>
    <w:p w:rsidR="00C96881" w:rsidRDefault="00C96881" w:rsidP="00C96881">
      <w:pPr>
        <w:pStyle w:val="NormalWeb"/>
        <w:jc w:val="both"/>
        <w:rPr>
          <w:rFonts w:ascii="Arial" w:hAnsi="Arial" w:cs="Arial"/>
          <w:color w:val="000000"/>
          <w:sz w:val="20"/>
          <w:szCs w:val="20"/>
        </w:rPr>
      </w:pPr>
      <w:r>
        <w:rPr>
          <w:rFonts w:ascii="Arial" w:hAnsi="Arial" w:cs="Arial"/>
          <w:color w:val="000000"/>
          <w:sz w:val="20"/>
          <w:szCs w:val="20"/>
        </w:rPr>
        <w:t>Dear Sir/ Madam,</w:t>
      </w:r>
    </w:p>
    <w:p w:rsidR="00C96881" w:rsidRDefault="00C96881" w:rsidP="00C96881">
      <w:pPr>
        <w:pStyle w:val="head"/>
        <w:jc w:val="both"/>
        <w:rPr>
          <w:rFonts w:ascii="Arial" w:hAnsi="Arial" w:cs="Arial"/>
          <w:b/>
          <w:bCs/>
          <w:color w:val="000000"/>
          <w:sz w:val="20"/>
          <w:szCs w:val="20"/>
        </w:rPr>
      </w:pPr>
      <w:r>
        <w:rPr>
          <w:rFonts w:ascii="Arial" w:hAnsi="Arial" w:cs="Arial"/>
          <w:b/>
          <w:bCs/>
          <w:color w:val="000000"/>
          <w:sz w:val="20"/>
          <w:szCs w:val="20"/>
        </w:rPr>
        <w:t>Review of Regulatory Framework for Asset Reconstruction Companies (ARCs)</w:t>
      </w:r>
    </w:p>
    <w:p w:rsidR="00C96881" w:rsidRDefault="00C96881" w:rsidP="00C96881">
      <w:pPr>
        <w:pStyle w:val="NormalWeb"/>
        <w:jc w:val="both"/>
        <w:rPr>
          <w:rFonts w:ascii="Arial" w:hAnsi="Arial" w:cs="Arial"/>
          <w:color w:val="000000"/>
          <w:sz w:val="20"/>
          <w:szCs w:val="20"/>
        </w:rPr>
      </w:pPr>
      <w:r>
        <w:rPr>
          <w:rFonts w:ascii="Arial" w:hAnsi="Arial" w:cs="Arial"/>
          <w:color w:val="000000"/>
          <w:sz w:val="20"/>
          <w:szCs w:val="20"/>
        </w:rPr>
        <w:t>ARCs play a vital role in the management of distressed financial assets of banks and financial institutions. Considering their critical role, a need was felt to review their functioning and operating framework. Accordingly, as part of the </w:t>
      </w:r>
      <w:hyperlink r:id="rId126" w:tgtFrame="_blank" w:history="1">
        <w:r>
          <w:rPr>
            <w:rStyle w:val="Hyperlink"/>
            <w:rFonts w:ascii="Arial" w:hAnsi="Arial" w:cs="Arial"/>
            <w:sz w:val="20"/>
            <w:szCs w:val="20"/>
          </w:rPr>
          <w:t>Statement on Developmental and Regulatory Policies</w:t>
        </w:r>
      </w:hyperlink>
      <w:r>
        <w:rPr>
          <w:rFonts w:ascii="Arial" w:hAnsi="Arial" w:cs="Arial"/>
          <w:color w:val="000000"/>
          <w:sz w:val="20"/>
          <w:szCs w:val="20"/>
        </w:rPr>
        <w:t> released along with the </w:t>
      </w:r>
      <w:hyperlink r:id="rId127" w:tgtFrame="_blank" w:history="1">
        <w:r>
          <w:rPr>
            <w:rStyle w:val="Hyperlink"/>
            <w:rFonts w:ascii="Arial" w:hAnsi="Arial" w:cs="Arial"/>
            <w:sz w:val="20"/>
            <w:szCs w:val="20"/>
          </w:rPr>
          <w:t>Monetary Policy Statement on April 7, 2021</w:t>
        </w:r>
      </w:hyperlink>
      <w:r>
        <w:rPr>
          <w:rFonts w:ascii="Arial" w:hAnsi="Arial" w:cs="Arial"/>
          <w:color w:val="000000"/>
          <w:sz w:val="20"/>
          <w:szCs w:val="20"/>
        </w:rPr>
        <w:t>, the Reserve Bank of India had set up a Committee to undertake a comprehensive review of the working of ARCs and recommend suitable measures for enabling them to function in a more transparent and efficient manner.</w:t>
      </w:r>
    </w:p>
    <w:p w:rsidR="00C96881" w:rsidRDefault="00C96881" w:rsidP="00C96881">
      <w:pPr>
        <w:pStyle w:val="NormalWeb"/>
        <w:jc w:val="both"/>
        <w:rPr>
          <w:rFonts w:ascii="Arial" w:hAnsi="Arial" w:cs="Arial"/>
          <w:color w:val="000000"/>
          <w:sz w:val="20"/>
          <w:szCs w:val="20"/>
        </w:rPr>
      </w:pPr>
      <w:r>
        <w:rPr>
          <w:rFonts w:ascii="Arial" w:hAnsi="Arial" w:cs="Arial"/>
          <w:color w:val="000000"/>
          <w:sz w:val="20"/>
          <w:szCs w:val="20"/>
        </w:rPr>
        <w:t>2. Based on the Committee’s recommendations and feedback from the stakeholders, the extant regulatory framework for ARCs has been amended as detailed in the </w:t>
      </w:r>
      <w:hyperlink r:id="rId128" w:anchor="AN1" w:history="1">
        <w:r>
          <w:rPr>
            <w:rStyle w:val="Hyperlink"/>
            <w:rFonts w:ascii="Arial" w:hAnsi="Arial" w:cs="Arial"/>
            <w:sz w:val="20"/>
            <w:szCs w:val="20"/>
          </w:rPr>
          <w:t>Annex</w:t>
        </w:r>
      </w:hyperlink>
      <w:r>
        <w:rPr>
          <w:rFonts w:ascii="Arial" w:hAnsi="Arial" w:cs="Arial"/>
          <w:color w:val="000000"/>
          <w:sz w:val="20"/>
          <w:szCs w:val="20"/>
        </w:rPr>
        <w:t>.</w:t>
      </w:r>
    </w:p>
    <w:p w:rsidR="00C96881" w:rsidRDefault="00C96881" w:rsidP="00C96881">
      <w:pPr>
        <w:pStyle w:val="NormalWeb"/>
        <w:jc w:val="both"/>
        <w:rPr>
          <w:rFonts w:ascii="Arial" w:hAnsi="Arial" w:cs="Arial"/>
          <w:color w:val="000000"/>
          <w:sz w:val="20"/>
          <w:szCs w:val="20"/>
        </w:rPr>
      </w:pPr>
      <w:r>
        <w:rPr>
          <w:rFonts w:ascii="Arial" w:hAnsi="Arial" w:cs="Arial"/>
          <w:color w:val="000000"/>
          <w:sz w:val="20"/>
          <w:szCs w:val="20"/>
        </w:rPr>
        <w:t>3. These guidelines shall be effective immediately or as indicated otherwise in the </w:t>
      </w:r>
      <w:hyperlink r:id="rId129" w:anchor="AN1" w:history="1">
        <w:r>
          <w:rPr>
            <w:rStyle w:val="Hyperlink"/>
            <w:rFonts w:ascii="Arial" w:hAnsi="Arial" w:cs="Arial"/>
            <w:sz w:val="20"/>
            <w:szCs w:val="20"/>
          </w:rPr>
          <w:t>Annex</w:t>
        </w:r>
      </w:hyperlink>
      <w:r>
        <w:rPr>
          <w:rFonts w:ascii="Arial" w:hAnsi="Arial" w:cs="Arial"/>
          <w:color w:val="000000"/>
          <w:sz w:val="20"/>
          <w:szCs w:val="20"/>
        </w:rPr>
        <w:t>.</w:t>
      </w:r>
    </w:p>
    <w:p w:rsidR="00C96881" w:rsidRDefault="00C96881" w:rsidP="00C96881">
      <w:pPr>
        <w:pStyle w:val="NormalWeb"/>
        <w:jc w:val="both"/>
        <w:rPr>
          <w:rFonts w:ascii="Arial" w:hAnsi="Arial" w:cs="Arial"/>
          <w:color w:val="000000"/>
          <w:sz w:val="20"/>
          <w:szCs w:val="20"/>
        </w:rPr>
      </w:pPr>
      <w:r>
        <w:rPr>
          <w:rFonts w:ascii="Arial" w:hAnsi="Arial" w:cs="Arial"/>
          <w:color w:val="000000"/>
          <w:sz w:val="20"/>
          <w:szCs w:val="20"/>
        </w:rPr>
        <w:t>Yours faithfully,</w:t>
      </w:r>
    </w:p>
    <w:p w:rsidR="00C96881" w:rsidRDefault="00C96881" w:rsidP="00C96881">
      <w:pPr>
        <w:pStyle w:val="NormalWeb"/>
        <w:rPr>
          <w:rFonts w:ascii="Arial" w:hAnsi="Arial" w:cs="Arial"/>
          <w:color w:val="000000"/>
          <w:sz w:val="20"/>
          <w:szCs w:val="20"/>
        </w:rPr>
      </w:pPr>
      <w:r>
        <w:rPr>
          <w:rFonts w:ascii="Arial" w:hAnsi="Arial" w:cs="Arial"/>
          <w:color w:val="000000"/>
          <w:sz w:val="20"/>
          <w:szCs w:val="20"/>
        </w:rPr>
        <w:t>(J.P. Sharma)</w:t>
      </w:r>
      <w:r>
        <w:rPr>
          <w:rFonts w:ascii="Arial" w:hAnsi="Arial" w:cs="Arial"/>
          <w:color w:val="000000"/>
          <w:sz w:val="20"/>
          <w:szCs w:val="20"/>
        </w:rPr>
        <w:br/>
        <w:t>Chief General Manager</w:t>
      </w:r>
    </w:p>
    <w:p w:rsidR="00C96881" w:rsidRDefault="00C96881" w:rsidP="00C96881">
      <w:pPr>
        <w:rPr>
          <w:rFonts w:ascii="Arial" w:hAnsi="Arial" w:cs="Arial"/>
          <w:sz w:val="20"/>
          <w:szCs w:val="20"/>
        </w:rPr>
      </w:pPr>
    </w:p>
    <w:p w:rsidR="00C96881" w:rsidRDefault="00C96881" w:rsidP="00C96881">
      <w:pPr>
        <w:rPr>
          <w:rFonts w:ascii="Arial" w:hAnsi="Arial" w:cs="Arial"/>
          <w:sz w:val="20"/>
          <w:szCs w:val="20"/>
        </w:rPr>
      </w:pPr>
    </w:p>
    <w:p w:rsidR="00C96881" w:rsidRDefault="00C96881" w:rsidP="00C96881">
      <w:r>
        <w:t>More details can be referred to in the below link.</w:t>
      </w:r>
    </w:p>
    <w:p w:rsidR="00C96881" w:rsidRDefault="00C96881" w:rsidP="00C96881">
      <w:pPr>
        <w:rPr>
          <w:rFonts w:ascii="Arial" w:hAnsi="Arial" w:cs="Arial"/>
          <w:bCs/>
          <w:color w:val="000000"/>
          <w:sz w:val="20"/>
          <w:szCs w:val="20"/>
        </w:rPr>
      </w:pPr>
      <w:r>
        <w:rPr>
          <w:rFonts w:ascii="Arial" w:hAnsi="Arial" w:cs="Arial"/>
          <w:bCs/>
          <w:color w:val="000000"/>
          <w:sz w:val="20"/>
          <w:szCs w:val="20"/>
        </w:rPr>
        <w:t xml:space="preserve">Reference Link: </w:t>
      </w:r>
      <w:hyperlink r:id="rId130" w:history="1">
        <w:r w:rsidRPr="0062290B">
          <w:rPr>
            <w:rStyle w:val="Hyperlink"/>
            <w:rFonts w:ascii="Arial" w:hAnsi="Arial" w:cs="Arial"/>
            <w:bCs/>
            <w:sz w:val="20"/>
            <w:szCs w:val="20"/>
          </w:rPr>
          <w:t>https://m.rbi.org.in/Scripts/BS_CircularIndexDisplay.aspx?Id=12399</w:t>
        </w:r>
      </w:hyperlink>
    </w:p>
    <w:p w:rsidR="00C96881" w:rsidRDefault="00C96881" w:rsidP="00C96881">
      <w:pPr>
        <w:rPr>
          <w:rFonts w:ascii="Arial" w:hAnsi="Arial" w:cs="Arial"/>
          <w:bCs/>
          <w:color w:val="000000"/>
          <w:sz w:val="20"/>
          <w:szCs w:val="20"/>
        </w:rPr>
      </w:pPr>
    </w:p>
    <w:p w:rsidR="00C96881" w:rsidRDefault="00C96881" w:rsidP="00C96881">
      <w:pPr>
        <w:rPr>
          <w:rFonts w:ascii="Arial" w:hAnsi="Arial" w:cs="Arial"/>
          <w:bCs/>
          <w:color w:val="000000"/>
          <w:sz w:val="20"/>
          <w:szCs w:val="20"/>
        </w:rPr>
      </w:pPr>
    </w:p>
    <w:p w:rsidR="00C96881" w:rsidRDefault="00C96881" w:rsidP="00C96881">
      <w:pPr>
        <w:rPr>
          <w:rFonts w:ascii="Arial" w:hAnsi="Arial" w:cs="Arial"/>
          <w:bCs/>
          <w:color w:val="000000"/>
          <w:sz w:val="20"/>
          <w:szCs w:val="20"/>
        </w:rPr>
      </w:pPr>
    </w:p>
    <w:p w:rsidR="00C96881" w:rsidRDefault="00C96881" w:rsidP="00C96881">
      <w:pPr>
        <w:rPr>
          <w:rFonts w:ascii="Arial" w:hAnsi="Arial" w:cs="Arial"/>
          <w:bCs/>
          <w:color w:val="000000"/>
          <w:sz w:val="20"/>
          <w:szCs w:val="20"/>
        </w:rPr>
      </w:pPr>
    </w:p>
    <w:p w:rsidR="00C96881" w:rsidRDefault="00C96881" w:rsidP="00C96881">
      <w:pPr>
        <w:rPr>
          <w:rFonts w:ascii="Arial" w:hAnsi="Arial" w:cs="Arial"/>
          <w:bCs/>
          <w:color w:val="000000"/>
          <w:sz w:val="20"/>
          <w:szCs w:val="20"/>
        </w:rPr>
      </w:pPr>
    </w:p>
    <w:p w:rsidR="00C96881" w:rsidRDefault="00C96881" w:rsidP="00C96881">
      <w:pPr>
        <w:rPr>
          <w:rFonts w:ascii="Arial" w:hAnsi="Arial" w:cs="Arial"/>
          <w:bCs/>
          <w:color w:val="000000"/>
          <w:sz w:val="20"/>
          <w:szCs w:val="20"/>
        </w:rPr>
      </w:pPr>
    </w:p>
    <w:p w:rsidR="00C96881" w:rsidRDefault="00C96881" w:rsidP="00C96881">
      <w:pPr>
        <w:rPr>
          <w:rFonts w:ascii="Arial" w:hAnsi="Arial" w:cs="Arial"/>
          <w:bCs/>
          <w:color w:val="000000"/>
          <w:sz w:val="20"/>
          <w:szCs w:val="20"/>
        </w:rPr>
      </w:pPr>
    </w:p>
    <w:p w:rsidR="00C96881" w:rsidRDefault="00C96881" w:rsidP="00C96881">
      <w:pPr>
        <w:rPr>
          <w:rFonts w:ascii="Arial" w:hAnsi="Arial" w:cs="Arial"/>
          <w:bCs/>
          <w:color w:val="000000"/>
          <w:sz w:val="20"/>
          <w:szCs w:val="20"/>
        </w:rPr>
      </w:pPr>
    </w:p>
    <w:p w:rsidR="00C96881" w:rsidRDefault="00C96881" w:rsidP="00C96881">
      <w:pPr>
        <w:rPr>
          <w:rFonts w:ascii="Arial" w:hAnsi="Arial" w:cs="Arial"/>
          <w:bCs/>
          <w:color w:val="000000"/>
          <w:sz w:val="20"/>
          <w:szCs w:val="20"/>
        </w:rPr>
      </w:pPr>
    </w:p>
    <w:p w:rsidR="00C96881" w:rsidRDefault="00C96881" w:rsidP="00C96881">
      <w:pPr>
        <w:rPr>
          <w:rFonts w:ascii="Arial" w:hAnsi="Arial" w:cs="Arial"/>
          <w:bCs/>
          <w:color w:val="000000"/>
          <w:sz w:val="20"/>
          <w:szCs w:val="20"/>
        </w:rPr>
      </w:pPr>
    </w:p>
    <w:p w:rsidR="00C96881" w:rsidRDefault="00C96881" w:rsidP="00C96881">
      <w:pPr>
        <w:rPr>
          <w:rFonts w:ascii="Arial" w:hAnsi="Arial" w:cs="Arial"/>
          <w:bCs/>
          <w:color w:val="000000"/>
          <w:sz w:val="20"/>
          <w:szCs w:val="20"/>
        </w:rPr>
      </w:pPr>
    </w:p>
    <w:p w:rsidR="00C96881" w:rsidRDefault="00C96881" w:rsidP="00C96881">
      <w:pPr>
        <w:rPr>
          <w:rFonts w:ascii="Arial" w:hAnsi="Arial" w:cs="Arial"/>
          <w:bCs/>
          <w:color w:val="000000"/>
          <w:sz w:val="20"/>
          <w:szCs w:val="20"/>
        </w:rPr>
      </w:pPr>
    </w:p>
    <w:p w:rsidR="00C96881" w:rsidRDefault="00C96881" w:rsidP="00C96881">
      <w:pPr>
        <w:spacing w:after="0"/>
        <w:rPr>
          <w:rFonts w:ascii="Arial" w:hAnsi="Arial" w:cs="Arial"/>
          <w:b/>
          <w:bCs/>
          <w:color w:val="000000"/>
          <w:sz w:val="20"/>
          <w:szCs w:val="20"/>
        </w:rPr>
      </w:pPr>
      <w:r>
        <w:rPr>
          <w:rFonts w:ascii="Arial" w:hAnsi="Arial" w:cs="Arial"/>
          <w:b/>
          <w:bCs/>
          <w:color w:val="000000"/>
          <w:sz w:val="20"/>
          <w:szCs w:val="20"/>
        </w:rPr>
        <w:t>Multiple NBFCs in a Group: Classification in Middle Layer</w:t>
      </w:r>
    </w:p>
    <w:p w:rsidR="00C96881" w:rsidRDefault="00C96881" w:rsidP="00C96881">
      <w:pPr>
        <w:pStyle w:val="NormalWeb"/>
        <w:jc w:val="both"/>
        <w:rPr>
          <w:rFonts w:ascii="Arial" w:hAnsi="Arial" w:cs="Arial"/>
          <w:color w:val="000000"/>
          <w:sz w:val="20"/>
          <w:szCs w:val="20"/>
        </w:rPr>
      </w:pPr>
      <w:r>
        <w:rPr>
          <w:rFonts w:ascii="Arial" w:hAnsi="Arial" w:cs="Arial"/>
          <w:color w:val="000000"/>
          <w:sz w:val="20"/>
          <w:szCs w:val="20"/>
        </w:rPr>
        <w:t>RBI/2022-23/129</w:t>
      </w:r>
      <w:r>
        <w:rPr>
          <w:rFonts w:ascii="Arial" w:hAnsi="Arial" w:cs="Arial"/>
          <w:color w:val="000000"/>
          <w:sz w:val="20"/>
          <w:szCs w:val="20"/>
        </w:rPr>
        <w:br/>
        <w:t>DOR.CRE.REC.No.78/03.10.001/2022-23</w:t>
      </w:r>
    </w:p>
    <w:p w:rsidR="00C96881" w:rsidRDefault="00C96881" w:rsidP="00C96881">
      <w:pPr>
        <w:pStyle w:val="NormalWeb"/>
        <w:jc w:val="right"/>
        <w:rPr>
          <w:rFonts w:ascii="Arial" w:hAnsi="Arial" w:cs="Arial"/>
          <w:color w:val="000000"/>
          <w:sz w:val="20"/>
          <w:szCs w:val="20"/>
        </w:rPr>
      </w:pPr>
      <w:r>
        <w:rPr>
          <w:rFonts w:ascii="Arial" w:hAnsi="Arial" w:cs="Arial"/>
          <w:color w:val="000000"/>
          <w:sz w:val="20"/>
          <w:szCs w:val="20"/>
        </w:rPr>
        <w:t>October 11, 2022</w:t>
      </w:r>
    </w:p>
    <w:p w:rsidR="00C96881" w:rsidRDefault="00C96881" w:rsidP="00C96881">
      <w:pPr>
        <w:pStyle w:val="NormalWeb"/>
        <w:jc w:val="both"/>
        <w:rPr>
          <w:rFonts w:ascii="Arial" w:hAnsi="Arial" w:cs="Arial"/>
          <w:color w:val="000000"/>
          <w:sz w:val="20"/>
          <w:szCs w:val="20"/>
        </w:rPr>
      </w:pPr>
      <w:r>
        <w:rPr>
          <w:rFonts w:ascii="Arial" w:hAnsi="Arial" w:cs="Arial"/>
          <w:color w:val="000000"/>
          <w:sz w:val="20"/>
          <w:szCs w:val="20"/>
        </w:rPr>
        <w:t>All Non-Banking Financial Companies</w:t>
      </w:r>
    </w:p>
    <w:p w:rsidR="00C96881" w:rsidRDefault="00C96881" w:rsidP="00C96881">
      <w:pPr>
        <w:pStyle w:val="NormalWeb"/>
        <w:jc w:val="both"/>
        <w:rPr>
          <w:rFonts w:ascii="Arial" w:hAnsi="Arial" w:cs="Arial"/>
          <w:color w:val="000000"/>
          <w:sz w:val="20"/>
          <w:szCs w:val="20"/>
        </w:rPr>
      </w:pPr>
      <w:r>
        <w:rPr>
          <w:rFonts w:ascii="Arial" w:hAnsi="Arial" w:cs="Arial"/>
          <w:color w:val="000000"/>
          <w:sz w:val="20"/>
          <w:szCs w:val="20"/>
        </w:rPr>
        <w:t>Madam / Dear Sir,</w:t>
      </w:r>
    </w:p>
    <w:p w:rsidR="00C96881" w:rsidRDefault="00C96881" w:rsidP="00C96881">
      <w:pPr>
        <w:pStyle w:val="head"/>
        <w:jc w:val="both"/>
        <w:rPr>
          <w:rFonts w:ascii="Arial" w:hAnsi="Arial" w:cs="Arial"/>
          <w:b/>
          <w:bCs/>
          <w:color w:val="000000"/>
          <w:sz w:val="20"/>
          <w:szCs w:val="20"/>
        </w:rPr>
      </w:pPr>
      <w:r>
        <w:rPr>
          <w:rFonts w:ascii="Arial" w:hAnsi="Arial" w:cs="Arial"/>
          <w:b/>
          <w:bCs/>
          <w:color w:val="000000"/>
          <w:sz w:val="20"/>
          <w:szCs w:val="20"/>
          <w:u w:val="single"/>
        </w:rPr>
        <w:t>Multiple NBFCs in a Group: Classification in Middle Layer</w:t>
      </w:r>
    </w:p>
    <w:p w:rsidR="00C96881" w:rsidRDefault="00C96881" w:rsidP="00C96881">
      <w:pPr>
        <w:pStyle w:val="NormalWeb"/>
        <w:jc w:val="both"/>
        <w:rPr>
          <w:rFonts w:ascii="Arial" w:hAnsi="Arial" w:cs="Arial"/>
          <w:color w:val="000000"/>
          <w:sz w:val="20"/>
          <w:szCs w:val="20"/>
        </w:rPr>
      </w:pPr>
      <w:r>
        <w:rPr>
          <w:rFonts w:ascii="Arial" w:hAnsi="Arial" w:cs="Arial"/>
          <w:color w:val="000000"/>
          <w:sz w:val="20"/>
          <w:szCs w:val="20"/>
        </w:rPr>
        <w:t>Please refer to para 1 of the Annex to the </w:t>
      </w:r>
      <w:hyperlink r:id="rId131" w:tgtFrame="_blank" w:history="1">
        <w:r>
          <w:rPr>
            <w:rStyle w:val="Hyperlink"/>
            <w:rFonts w:ascii="Arial" w:hAnsi="Arial" w:cs="Arial"/>
            <w:sz w:val="20"/>
            <w:szCs w:val="20"/>
          </w:rPr>
          <w:t>Circular on “Scale Based Regulation (SBR): A Revised Regulatory Framework for NBFCs” issued on October 22, 2021</w:t>
        </w:r>
      </w:hyperlink>
      <w:r>
        <w:rPr>
          <w:rFonts w:ascii="Arial" w:hAnsi="Arial" w:cs="Arial"/>
          <w:color w:val="000000"/>
          <w:sz w:val="20"/>
          <w:szCs w:val="20"/>
        </w:rPr>
        <w:t> delineating the four layered regulatory structure for NBFCs under Scale Based Regulatory Framework.</w:t>
      </w:r>
    </w:p>
    <w:p w:rsidR="00C96881" w:rsidRDefault="00C96881" w:rsidP="00C96881">
      <w:pPr>
        <w:pStyle w:val="NormalWeb"/>
        <w:jc w:val="both"/>
        <w:rPr>
          <w:rFonts w:ascii="Arial" w:hAnsi="Arial" w:cs="Arial"/>
          <w:color w:val="000000"/>
          <w:sz w:val="20"/>
          <w:szCs w:val="20"/>
        </w:rPr>
      </w:pPr>
      <w:r>
        <w:rPr>
          <w:rStyle w:val="head1"/>
          <w:rFonts w:ascii="Arial" w:hAnsi="Arial" w:cs="Arial"/>
          <w:b/>
          <w:bCs/>
          <w:color w:val="000000"/>
          <w:sz w:val="20"/>
          <w:szCs w:val="20"/>
        </w:rPr>
        <w:t>2.</w:t>
      </w:r>
      <w:r>
        <w:rPr>
          <w:rFonts w:ascii="Arial" w:hAnsi="Arial" w:cs="Arial"/>
          <w:color w:val="000000"/>
          <w:sz w:val="20"/>
          <w:szCs w:val="20"/>
        </w:rPr>
        <w:t> As per para 16 of the </w:t>
      </w:r>
      <w:hyperlink r:id="rId132" w:tgtFrame="_blank" w:history="1">
        <w:r>
          <w:rPr>
            <w:rStyle w:val="Hyperlink"/>
            <w:rFonts w:ascii="Arial" w:hAnsi="Arial" w:cs="Arial"/>
            <w:sz w:val="20"/>
            <w:szCs w:val="20"/>
          </w:rPr>
          <w:t>Master Direction – Non-Banking Financial Company-Systemically Important Non-Deposit taking Company and Deposit taking Company (Reserve Bank) Directions 2016</w:t>
        </w:r>
      </w:hyperlink>
      <w:r>
        <w:rPr>
          <w:rFonts w:ascii="Arial" w:hAnsi="Arial" w:cs="Arial"/>
          <w:color w:val="000000"/>
          <w:sz w:val="20"/>
          <w:szCs w:val="20"/>
        </w:rPr>
        <w:t>, applicable NBFCs that are part of a common Group or are floated by a common set of promoters shall not be viewed on a standalone basis. In line with the existing policy on consolidation of assets of the NBFCs in a Group, the total assets of </w:t>
      </w:r>
      <w:r>
        <w:rPr>
          <w:rStyle w:val="head1"/>
          <w:rFonts w:ascii="Arial" w:hAnsi="Arial" w:cs="Arial"/>
          <w:b/>
          <w:bCs/>
          <w:color w:val="000000"/>
          <w:sz w:val="20"/>
          <w:szCs w:val="20"/>
        </w:rPr>
        <w:t>all the NBFCs</w:t>
      </w:r>
      <w:hyperlink r:id="rId133" w:anchor="F1" w:history="1">
        <w:r>
          <w:rPr>
            <w:rStyle w:val="Hyperlink"/>
            <w:rFonts w:ascii="Arial" w:hAnsi="Arial" w:cs="Arial"/>
            <w:sz w:val="15"/>
            <w:szCs w:val="15"/>
            <w:vertAlign w:val="superscript"/>
          </w:rPr>
          <w:t>1</w:t>
        </w:r>
      </w:hyperlink>
      <w:r>
        <w:rPr>
          <w:rFonts w:ascii="Arial" w:hAnsi="Arial" w:cs="Arial"/>
          <w:color w:val="000000"/>
          <w:sz w:val="20"/>
          <w:szCs w:val="20"/>
        </w:rPr>
        <w:t> </w:t>
      </w:r>
      <w:r>
        <w:rPr>
          <w:rStyle w:val="head1"/>
          <w:rFonts w:ascii="Arial" w:hAnsi="Arial" w:cs="Arial"/>
          <w:b/>
          <w:bCs/>
          <w:color w:val="000000"/>
          <w:sz w:val="20"/>
          <w:szCs w:val="20"/>
        </w:rPr>
        <w:t>in a Group</w:t>
      </w:r>
      <w:hyperlink r:id="rId134" w:anchor="F2" w:history="1">
        <w:r>
          <w:rPr>
            <w:rStyle w:val="Hyperlink"/>
            <w:rFonts w:ascii="Arial" w:hAnsi="Arial" w:cs="Arial"/>
            <w:sz w:val="15"/>
            <w:szCs w:val="15"/>
            <w:vertAlign w:val="superscript"/>
          </w:rPr>
          <w:t>2</w:t>
        </w:r>
      </w:hyperlink>
      <w:r>
        <w:rPr>
          <w:rFonts w:ascii="Arial" w:hAnsi="Arial" w:cs="Arial"/>
          <w:color w:val="000000"/>
          <w:sz w:val="20"/>
          <w:szCs w:val="20"/>
        </w:rPr>
        <w:t> shall be consolidated to determine the threshold for their classification in the Middle Layer.</w:t>
      </w:r>
    </w:p>
    <w:p w:rsidR="00C96881" w:rsidRDefault="00C96881" w:rsidP="00C96881">
      <w:pPr>
        <w:pStyle w:val="NormalWeb"/>
        <w:jc w:val="both"/>
        <w:rPr>
          <w:rFonts w:ascii="Arial" w:hAnsi="Arial" w:cs="Arial"/>
          <w:color w:val="000000"/>
          <w:sz w:val="20"/>
          <w:szCs w:val="20"/>
        </w:rPr>
      </w:pPr>
      <w:r>
        <w:rPr>
          <w:rStyle w:val="head1"/>
          <w:rFonts w:ascii="Arial" w:hAnsi="Arial" w:cs="Arial"/>
          <w:b/>
          <w:bCs/>
          <w:color w:val="000000"/>
          <w:sz w:val="20"/>
          <w:szCs w:val="20"/>
        </w:rPr>
        <w:t>3.</w:t>
      </w:r>
      <w:r>
        <w:rPr>
          <w:rFonts w:ascii="Arial" w:hAnsi="Arial" w:cs="Arial"/>
          <w:color w:val="000000"/>
          <w:sz w:val="20"/>
          <w:szCs w:val="20"/>
        </w:rPr>
        <w:t> If the consolidated asset (consolidation as per para 2 above) size of the Group is ₹1000 crore and above, then each Investment and Credit Company (NBFC-ICC), Micro Finance Institution (NBFC-MFI), NBFC-Factor and Mortgage Guarantee Company (NBFC-MGC) lying in the Group shall be classified as an NBFC in the Middle Layer and consequently, regulations as applicable to the Middle Layer shall be applicable to them. Illustrative examples are provided in the </w:t>
      </w:r>
      <w:hyperlink r:id="rId135" w:anchor="AN1" w:history="1">
        <w:r>
          <w:rPr>
            <w:rStyle w:val="Hyperlink"/>
            <w:rFonts w:ascii="Arial" w:hAnsi="Arial" w:cs="Arial"/>
            <w:sz w:val="20"/>
            <w:szCs w:val="20"/>
          </w:rPr>
          <w:t>Annex</w:t>
        </w:r>
      </w:hyperlink>
      <w:r>
        <w:rPr>
          <w:rFonts w:ascii="Arial" w:hAnsi="Arial" w:cs="Arial"/>
          <w:color w:val="000000"/>
          <w:sz w:val="20"/>
          <w:szCs w:val="20"/>
        </w:rPr>
        <w:t> to this circular.</w:t>
      </w:r>
    </w:p>
    <w:p w:rsidR="00C96881" w:rsidRDefault="00C96881" w:rsidP="00C96881">
      <w:pPr>
        <w:pStyle w:val="NormalWeb"/>
        <w:jc w:val="both"/>
        <w:rPr>
          <w:rFonts w:ascii="Arial" w:hAnsi="Arial" w:cs="Arial"/>
          <w:color w:val="000000"/>
          <w:sz w:val="20"/>
          <w:szCs w:val="20"/>
        </w:rPr>
      </w:pPr>
      <w:r>
        <w:rPr>
          <w:rStyle w:val="head1"/>
          <w:rFonts w:ascii="Arial" w:hAnsi="Arial" w:cs="Arial"/>
          <w:b/>
          <w:bCs/>
          <w:color w:val="000000"/>
          <w:sz w:val="20"/>
          <w:szCs w:val="20"/>
        </w:rPr>
        <w:t>4.</w:t>
      </w:r>
      <w:r>
        <w:rPr>
          <w:rFonts w:ascii="Arial" w:hAnsi="Arial" w:cs="Arial"/>
          <w:color w:val="000000"/>
          <w:sz w:val="20"/>
          <w:szCs w:val="20"/>
        </w:rPr>
        <w:t> Statutory Auditors are required to certify the asset size (as on March 31) of all the NBFCs in the Group every year. The certificate shall be furnished to the Department of Supervision of the Reserve Bank under whose jurisdiction the NBFCs are registered.</w:t>
      </w:r>
    </w:p>
    <w:p w:rsidR="00C96881" w:rsidRDefault="00C96881" w:rsidP="00C96881">
      <w:pPr>
        <w:pStyle w:val="NormalWeb"/>
        <w:jc w:val="both"/>
        <w:rPr>
          <w:rFonts w:ascii="Arial" w:hAnsi="Arial" w:cs="Arial"/>
          <w:color w:val="000000"/>
          <w:sz w:val="20"/>
          <w:szCs w:val="20"/>
        </w:rPr>
      </w:pPr>
      <w:r>
        <w:rPr>
          <w:rStyle w:val="head1"/>
          <w:rFonts w:ascii="Arial" w:hAnsi="Arial" w:cs="Arial"/>
          <w:b/>
          <w:bCs/>
          <w:color w:val="000000"/>
          <w:sz w:val="20"/>
          <w:szCs w:val="20"/>
        </w:rPr>
        <w:t>5.</w:t>
      </w:r>
      <w:r>
        <w:rPr>
          <w:rFonts w:ascii="Arial" w:hAnsi="Arial" w:cs="Arial"/>
          <w:color w:val="000000"/>
          <w:sz w:val="20"/>
          <w:szCs w:val="20"/>
        </w:rPr>
        <w:t> These guidelines shall be effective from October 01, 2022.</w:t>
      </w:r>
    </w:p>
    <w:p w:rsidR="00C96881" w:rsidRDefault="00C96881" w:rsidP="00C96881">
      <w:pPr>
        <w:pStyle w:val="NormalWeb"/>
        <w:jc w:val="both"/>
        <w:rPr>
          <w:rFonts w:ascii="Arial" w:hAnsi="Arial" w:cs="Arial"/>
          <w:color w:val="000000"/>
          <w:sz w:val="20"/>
          <w:szCs w:val="20"/>
        </w:rPr>
      </w:pPr>
      <w:r>
        <w:rPr>
          <w:rStyle w:val="head1"/>
          <w:rFonts w:ascii="Arial" w:hAnsi="Arial" w:cs="Arial"/>
          <w:b/>
          <w:bCs/>
          <w:color w:val="000000"/>
          <w:sz w:val="20"/>
          <w:szCs w:val="20"/>
        </w:rPr>
        <w:t>6.</w:t>
      </w:r>
      <w:r>
        <w:rPr>
          <w:rFonts w:ascii="Arial" w:hAnsi="Arial" w:cs="Arial"/>
          <w:color w:val="000000"/>
          <w:sz w:val="20"/>
          <w:szCs w:val="20"/>
        </w:rPr>
        <w:t> Provisions contained in this circular will not be applicable for classifying an NBFC in the Upper Layer.</w:t>
      </w:r>
    </w:p>
    <w:p w:rsidR="00C96881" w:rsidRDefault="00C96881" w:rsidP="00C96881">
      <w:pPr>
        <w:pStyle w:val="NormalWeb"/>
        <w:jc w:val="both"/>
        <w:rPr>
          <w:rFonts w:ascii="Arial" w:hAnsi="Arial" w:cs="Arial"/>
          <w:color w:val="000000"/>
          <w:sz w:val="20"/>
          <w:szCs w:val="20"/>
        </w:rPr>
      </w:pPr>
      <w:r>
        <w:rPr>
          <w:rFonts w:ascii="Arial" w:hAnsi="Arial" w:cs="Arial"/>
          <w:color w:val="000000"/>
          <w:sz w:val="20"/>
          <w:szCs w:val="20"/>
        </w:rPr>
        <w:t>Yours faithfully,</w:t>
      </w:r>
    </w:p>
    <w:p w:rsidR="00C96881" w:rsidRDefault="00C96881" w:rsidP="00C96881">
      <w:pPr>
        <w:pStyle w:val="NormalWeb"/>
        <w:rPr>
          <w:rFonts w:ascii="Arial" w:hAnsi="Arial" w:cs="Arial"/>
          <w:color w:val="000000"/>
          <w:sz w:val="20"/>
          <w:szCs w:val="20"/>
        </w:rPr>
      </w:pPr>
      <w:r>
        <w:rPr>
          <w:rFonts w:ascii="Arial" w:hAnsi="Arial" w:cs="Arial"/>
          <w:color w:val="000000"/>
          <w:sz w:val="20"/>
          <w:szCs w:val="20"/>
        </w:rPr>
        <w:t>(</w:t>
      </w:r>
      <w:proofErr w:type="spellStart"/>
      <w:r>
        <w:rPr>
          <w:rFonts w:ascii="Arial" w:hAnsi="Arial" w:cs="Arial"/>
          <w:color w:val="000000"/>
          <w:sz w:val="20"/>
          <w:szCs w:val="20"/>
        </w:rPr>
        <w:t>Manoranjan</w:t>
      </w:r>
      <w:proofErr w:type="spellEnd"/>
      <w:r>
        <w:rPr>
          <w:rFonts w:ascii="Arial" w:hAnsi="Arial" w:cs="Arial"/>
          <w:color w:val="000000"/>
          <w:sz w:val="20"/>
          <w:szCs w:val="20"/>
        </w:rPr>
        <w:t xml:space="preserve"> Mishra)</w:t>
      </w:r>
      <w:r>
        <w:rPr>
          <w:rFonts w:ascii="Arial" w:hAnsi="Arial" w:cs="Arial"/>
          <w:color w:val="000000"/>
          <w:sz w:val="20"/>
          <w:szCs w:val="20"/>
        </w:rPr>
        <w:br/>
        <w:t>Chief General Manager</w:t>
      </w:r>
    </w:p>
    <w:p w:rsidR="00C96881" w:rsidRDefault="00C96881" w:rsidP="00C96881">
      <w:pPr>
        <w:spacing w:after="0"/>
        <w:rPr>
          <w:rFonts w:ascii="Arial" w:hAnsi="Arial" w:cs="Arial"/>
          <w:b/>
          <w:bCs/>
          <w:color w:val="000000"/>
          <w:sz w:val="20"/>
          <w:szCs w:val="20"/>
        </w:rPr>
      </w:pPr>
    </w:p>
    <w:p w:rsidR="00C96881" w:rsidRDefault="00C96881" w:rsidP="00C96881">
      <w:pPr>
        <w:spacing w:after="0"/>
        <w:rPr>
          <w:rFonts w:ascii="Arial" w:hAnsi="Arial" w:cs="Arial"/>
          <w:b/>
          <w:bCs/>
          <w:color w:val="000000"/>
          <w:sz w:val="20"/>
          <w:szCs w:val="20"/>
        </w:rPr>
      </w:pPr>
    </w:p>
    <w:p w:rsidR="00C96881" w:rsidRDefault="00C96881" w:rsidP="00C96881">
      <w:pPr>
        <w:spacing w:after="0"/>
        <w:rPr>
          <w:rFonts w:ascii="Arial" w:hAnsi="Arial" w:cs="Arial"/>
          <w:b/>
          <w:bCs/>
          <w:color w:val="000000"/>
          <w:sz w:val="20"/>
          <w:szCs w:val="20"/>
        </w:rPr>
      </w:pPr>
    </w:p>
    <w:p w:rsidR="00C96881" w:rsidRDefault="00C96881" w:rsidP="00C96881">
      <w:pPr>
        <w:spacing w:after="0"/>
        <w:rPr>
          <w:rFonts w:ascii="Arial" w:hAnsi="Arial" w:cs="Arial"/>
          <w:b/>
          <w:bCs/>
          <w:color w:val="000000"/>
          <w:sz w:val="20"/>
          <w:szCs w:val="20"/>
        </w:rPr>
      </w:pPr>
    </w:p>
    <w:p w:rsidR="00C96881" w:rsidRDefault="00C96881" w:rsidP="00C96881">
      <w:pPr>
        <w:spacing w:after="0"/>
        <w:rPr>
          <w:rFonts w:ascii="Arial" w:hAnsi="Arial" w:cs="Arial"/>
          <w:b/>
          <w:bCs/>
          <w:color w:val="000000"/>
          <w:sz w:val="20"/>
          <w:szCs w:val="20"/>
        </w:rPr>
      </w:pPr>
    </w:p>
    <w:p w:rsidR="00C96881" w:rsidRDefault="00C96881" w:rsidP="00C96881">
      <w:r>
        <w:t>More details can be referred to in the below link.</w:t>
      </w:r>
    </w:p>
    <w:p w:rsidR="00C96881" w:rsidRDefault="00C96881" w:rsidP="00C96881">
      <w:pPr>
        <w:spacing w:after="0"/>
        <w:rPr>
          <w:rFonts w:ascii="Arial" w:hAnsi="Arial" w:cs="Arial"/>
          <w:bCs/>
          <w:color w:val="000000"/>
          <w:sz w:val="20"/>
          <w:szCs w:val="20"/>
        </w:rPr>
      </w:pPr>
      <w:r>
        <w:rPr>
          <w:rFonts w:ascii="Arial" w:hAnsi="Arial" w:cs="Arial"/>
          <w:bCs/>
          <w:color w:val="000000"/>
          <w:sz w:val="20"/>
          <w:szCs w:val="20"/>
        </w:rPr>
        <w:t xml:space="preserve">Reference Link: </w:t>
      </w:r>
      <w:hyperlink r:id="rId136" w:history="1">
        <w:r w:rsidRPr="00396C70">
          <w:rPr>
            <w:rStyle w:val="Hyperlink"/>
            <w:rFonts w:ascii="Arial" w:hAnsi="Arial" w:cs="Arial"/>
            <w:bCs/>
            <w:sz w:val="20"/>
            <w:szCs w:val="20"/>
          </w:rPr>
          <w:t>https://www.rbi.org.in/Scripts/NotificationUser.aspx?Id=12400&amp;Mode=0</w:t>
        </w:r>
      </w:hyperlink>
    </w:p>
    <w:p w:rsidR="00C96881" w:rsidRDefault="00C96881" w:rsidP="00C96881">
      <w:pPr>
        <w:spacing w:after="0"/>
        <w:rPr>
          <w:rFonts w:ascii="Arial" w:hAnsi="Arial" w:cs="Arial"/>
          <w:b/>
          <w:bCs/>
          <w:color w:val="000000"/>
          <w:sz w:val="20"/>
          <w:szCs w:val="20"/>
        </w:rPr>
      </w:pPr>
    </w:p>
    <w:p w:rsidR="00C96881" w:rsidRDefault="00C96881" w:rsidP="00C96881">
      <w:pPr>
        <w:spacing w:after="0"/>
        <w:rPr>
          <w:rFonts w:ascii="Arial" w:hAnsi="Arial" w:cs="Arial"/>
          <w:b/>
          <w:bCs/>
          <w:color w:val="000000"/>
          <w:sz w:val="20"/>
          <w:szCs w:val="20"/>
        </w:rPr>
      </w:pPr>
    </w:p>
    <w:p w:rsidR="00C96881" w:rsidRDefault="00C96881" w:rsidP="00C96881">
      <w:pPr>
        <w:spacing w:after="0"/>
        <w:rPr>
          <w:rFonts w:ascii="Arial" w:hAnsi="Arial" w:cs="Arial"/>
          <w:b/>
          <w:bCs/>
          <w:color w:val="000000"/>
          <w:sz w:val="20"/>
          <w:szCs w:val="20"/>
        </w:rPr>
      </w:pPr>
    </w:p>
    <w:p w:rsidR="00C96881" w:rsidRDefault="00C96881" w:rsidP="00C96881">
      <w:pPr>
        <w:rPr>
          <w:rFonts w:ascii="Arial" w:hAnsi="Arial" w:cs="Arial"/>
          <w:bCs/>
          <w:color w:val="000000"/>
          <w:sz w:val="20"/>
          <w:szCs w:val="20"/>
        </w:rPr>
      </w:pPr>
    </w:p>
    <w:p w:rsidR="00C96881" w:rsidRDefault="00C96881" w:rsidP="00C96881">
      <w:pPr>
        <w:rPr>
          <w:rFonts w:ascii="Arial" w:hAnsi="Arial" w:cs="Arial"/>
          <w:bCs/>
          <w:color w:val="000000"/>
          <w:sz w:val="20"/>
          <w:szCs w:val="20"/>
        </w:rPr>
      </w:pPr>
    </w:p>
    <w:p w:rsidR="00C96881" w:rsidRDefault="00C96881" w:rsidP="00C96881">
      <w:pPr>
        <w:rPr>
          <w:rFonts w:ascii="Arial" w:hAnsi="Arial" w:cs="Arial"/>
          <w:b/>
          <w:bCs/>
          <w:color w:val="000000"/>
          <w:sz w:val="20"/>
          <w:szCs w:val="20"/>
        </w:rPr>
      </w:pPr>
      <w:r>
        <w:rPr>
          <w:rFonts w:ascii="Arial" w:hAnsi="Arial" w:cs="Arial"/>
          <w:b/>
          <w:bCs/>
          <w:color w:val="000000"/>
          <w:sz w:val="20"/>
          <w:szCs w:val="20"/>
        </w:rPr>
        <w:t>Reserve Bank of India (Financial Statements - Presentation and Disclosures) Directions, 2021 - Disclosure of Divergence in Asset Classification and Provisioning</w:t>
      </w:r>
    </w:p>
    <w:p w:rsidR="00C96881" w:rsidRDefault="00C96881" w:rsidP="00C96881">
      <w:pPr>
        <w:pStyle w:val="NormalWeb"/>
        <w:jc w:val="both"/>
        <w:rPr>
          <w:rFonts w:ascii="Arial" w:hAnsi="Arial" w:cs="Arial"/>
          <w:color w:val="000000"/>
          <w:sz w:val="20"/>
          <w:szCs w:val="20"/>
        </w:rPr>
      </w:pPr>
      <w:r>
        <w:rPr>
          <w:rFonts w:ascii="Arial" w:hAnsi="Arial" w:cs="Arial"/>
          <w:color w:val="000000"/>
          <w:sz w:val="20"/>
          <w:szCs w:val="20"/>
        </w:rPr>
        <w:t>RBI/2022-23/130</w:t>
      </w:r>
      <w:r>
        <w:rPr>
          <w:rFonts w:ascii="Arial" w:hAnsi="Arial" w:cs="Arial"/>
          <w:color w:val="000000"/>
          <w:sz w:val="20"/>
          <w:szCs w:val="20"/>
        </w:rPr>
        <w:br/>
        <w:t>DOR.ACC.REC.No.74/21.04.018/2022-23</w:t>
      </w:r>
    </w:p>
    <w:p w:rsidR="00C96881" w:rsidRDefault="00C96881" w:rsidP="00C96881">
      <w:pPr>
        <w:pStyle w:val="NormalWeb"/>
        <w:jc w:val="right"/>
        <w:rPr>
          <w:rFonts w:ascii="Arial" w:hAnsi="Arial" w:cs="Arial"/>
          <w:color w:val="000000"/>
          <w:sz w:val="20"/>
          <w:szCs w:val="20"/>
        </w:rPr>
      </w:pPr>
      <w:r>
        <w:rPr>
          <w:rFonts w:ascii="Arial" w:hAnsi="Arial" w:cs="Arial"/>
          <w:color w:val="000000"/>
          <w:sz w:val="20"/>
          <w:szCs w:val="20"/>
        </w:rPr>
        <w:t>October 11, 2022</w:t>
      </w:r>
    </w:p>
    <w:p w:rsidR="00C96881" w:rsidRDefault="00C96881" w:rsidP="00C96881">
      <w:pPr>
        <w:pStyle w:val="NormalWeb"/>
        <w:jc w:val="both"/>
        <w:rPr>
          <w:rFonts w:ascii="Arial" w:hAnsi="Arial" w:cs="Arial"/>
          <w:color w:val="000000"/>
          <w:sz w:val="20"/>
          <w:szCs w:val="20"/>
        </w:rPr>
      </w:pPr>
      <w:r>
        <w:rPr>
          <w:rFonts w:ascii="Arial" w:hAnsi="Arial" w:cs="Arial"/>
          <w:color w:val="000000"/>
          <w:sz w:val="20"/>
          <w:szCs w:val="20"/>
        </w:rPr>
        <w:t>Madam / Dear Sir,</w:t>
      </w:r>
    </w:p>
    <w:p w:rsidR="00C96881" w:rsidRDefault="00C96881" w:rsidP="00C96881">
      <w:pPr>
        <w:pStyle w:val="head"/>
        <w:jc w:val="both"/>
        <w:rPr>
          <w:rFonts w:ascii="Arial" w:hAnsi="Arial" w:cs="Arial"/>
          <w:b/>
          <w:bCs/>
          <w:color w:val="000000"/>
          <w:sz w:val="20"/>
          <w:szCs w:val="20"/>
        </w:rPr>
      </w:pPr>
      <w:r>
        <w:rPr>
          <w:rFonts w:ascii="Arial" w:hAnsi="Arial" w:cs="Arial"/>
          <w:b/>
          <w:bCs/>
          <w:color w:val="000000"/>
          <w:sz w:val="20"/>
          <w:szCs w:val="20"/>
        </w:rPr>
        <w:t>Reserve Bank of India (Financial Statements - Presentation and Disclosures) Directions, 2021 - Disclosure of Divergence in Asset Classification and Provisioning</w:t>
      </w:r>
    </w:p>
    <w:p w:rsidR="00C96881" w:rsidRDefault="00C96881" w:rsidP="00C96881">
      <w:pPr>
        <w:pStyle w:val="NormalWeb"/>
        <w:jc w:val="both"/>
        <w:rPr>
          <w:rFonts w:ascii="Arial" w:hAnsi="Arial" w:cs="Arial"/>
          <w:color w:val="000000"/>
          <w:sz w:val="20"/>
          <w:szCs w:val="20"/>
        </w:rPr>
      </w:pPr>
      <w:r>
        <w:rPr>
          <w:rFonts w:ascii="Arial" w:hAnsi="Arial" w:cs="Arial"/>
          <w:color w:val="000000"/>
          <w:sz w:val="20"/>
          <w:szCs w:val="20"/>
        </w:rPr>
        <w:t>In terms of paragraph C.4(e) of Annexure III to the </w:t>
      </w:r>
      <w:hyperlink r:id="rId137" w:tgtFrame="_blank" w:history="1">
        <w:r>
          <w:rPr>
            <w:rStyle w:val="Hyperlink"/>
            <w:rFonts w:ascii="Arial" w:hAnsi="Arial" w:cs="Arial"/>
            <w:sz w:val="20"/>
            <w:szCs w:val="20"/>
          </w:rPr>
          <w:t>Reserve Bank of India (Financial Statements-Presentation and Disclosures) Directions, 2021</w:t>
        </w:r>
      </w:hyperlink>
      <w:r>
        <w:rPr>
          <w:rFonts w:ascii="Arial" w:hAnsi="Arial" w:cs="Arial"/>
          <w:color w:val="000000"/>
          <w:sz w:val="20"/>
          <w:szCs w:val="20"/>
        </w:rPr>
        <w:t>, commercial banks (excluding Regional Rural Banks (RRBs)) are required to disclose details of divergence in asset classification and provisioning where such divergence assessed by the Reserve Bank of India (RBI) exceeds certain specified thresholds. In order to strengthen compliance with income recognition, asset classification and provisioning norms, it has now been decided to introduce similar disclosure requirements for Primary (Urban) Co-operative Banks (UCBs) and revise the specified thresholds for commercial banks.</w:t>
      </w:r>
    </w:p>
    <w:p w:rsidR="00C96881" w:rsidRDefault="00C96881" w:rsidP="00C96881">
      <w:pPr>
        <w:pStyle w:val="NormalWeb"/>
        <w:spacing w:after="0" w:afterAutospacing="0"/>
        <w:jc w:val="both"/>
        <w:rPr>
          <w:rFonts w:ascii="Arial" w:hAnsi="Arial" w:cs="Arial"/>
          <w:color w:val="000000"/>
          <w:sz w:val="20"/>
          <w:szCs w:val="20"/>
        </w:rPr>
      </w:pPr>
      <w:r>
        <w:rPr>
          <w:rFonts w:ascii="Arial" w:hAnsi="Arial" w:cs="Arial"/>
          <w:color w:val="000000"/>
          <w:sz w:val="20"/>
          <w:szCs w:val="20"/>
        </w:rPr>
        <w:t>2. Accordingly, for the financial statements for the year ending March 31, 2023, banks shall make suitable disclosures in the manner specified in paragraph C.4(e) of Annex III to the afore-mentioned Directions, if either or both of the following conditions are satisfied:</w:t>
      </w:r>
    </w:p>
    <w:p w:rsidR="00C96881" w:rsidRDefault="00C96881" w:rsidP="00DA1141">
      <w:pPr>
        <w:pStyle w:val="NormalWeb"/>
        <w:numPr>
          <w:ilvl w:val="0"/>
          <w:numId w:val="14"/>
        </w:numPr>
        <w:ind w:left="0"/>
        <w:jc w:val="both"/>
        <w:rPr>
          <w:rFonts w:ascii="Arial" w:hAnsi="Arial" w:cs="Arial"/>
          <w:color w:val="000000"/>
          <w:sz w:val="20"/>
          <w:szCs w:val="20"/>
        </w:rPr>
      </w:pPr>
      <w:r>
        <w:rPr>
          <w:rFonts w:ascii="Arial" w:hAnsi="Arial" w:cs="Arial"/>
          <w:color w:val="000000"/>
          <w:sz w:val="20"/>
          <w:szCs w:val="20"/>
        </w:rPr>
        <w:t>the additional provisioning for non-performing assets (NPAs) assessed by the RBI exceeds 10 per cent of the reported profit before provisions and contingencies</w:t>
      </w:r>
      <w:hyperlink r:id="rId138" w:anchor="F1" w:history="1">
        <w:r>
          <w:rPr>
            <w:rStyle w:val="Hyperlink"/>
            <w:rFonts w:ascii="Arial" w:hAnsi="Arial" w:cs="Arial"/>
            <w:sz w:val="15"/>
            <w:szCs w:val="15"/>
            <w:vertAlign w:val="superscript"/>
          </w:rPr>
          <w:t>1</w:t>
        </w:r>
      </w:hyperlink>
      <w:r>
        <w:rPr>
          <w:rFonts w:ascii="Arial" w:hAnsi="Arial" w:cs="Arial"/>
          <w:color w:val="000000"/>
          <w:sz w:val="20"/>
          <w:szCs w:val="20"/>
        </w:rPr>
        <w:t> for the reference period; and</w:t>
      </w:r>
    </w:p>
    <w:p w:rsidR="00C96881" w:rsidRDefault="00C96881" w:rsidP="00DA1141">
      <w:pPr>
        <w:pStyle w:val="NormalWeb"/>
        <w:numPr>
          <w:ilvl w:val="0"/>
          <w:numId w:val="14"/>
        </w:numPr>
        <w:spacing w:before="0" w:beforeAutospacing="0" w:after="0" w:afterAutospacing="0"/>
        <w:ind w:left="0"/>
        <w:jc w:val="both"/>
        <w:rPr>
          <w:rFonts w:ascii="Arial" w:hAnsi="Arial" w:cs="Arial"/>
          <w:color w:val="000000"/>
          <w:sz w:val="20"/>
          <w:szCs w:val="20"/>
        </w:rPr>
      </w:pPr>
      <w:r>
        <w:rPr>
          <w:rFonts w:ascii="Arial" w:hAnsi="Arial" w:cs="Arial"/>
          <w:color w:val="000000"/>
          <w:sz w:val="20"/>
          <w:szCs w:val="20"/>
        </w:rPr>
        <w:t>the additional Gross NPAs identified by the RBI exceed 10 per cent of the reported</w:t>
      </w:r>
      <w:hyperlink r:id="rId139" w:anchor="F2" w:history="1">
        <w:r>
          <w:rPr>
            <w:rStyle w:val="Hyperlink"/>
            <w:rFonts w:ascii="Arial" w:hAnsi="Arial" w:cs="Arial"/>
            <w:sz w:val="15"/>
            <w:szCs w:val="15"/>
            <w:vertAlign w:val="superscript"/>
          </w:rPr>
          <w:t>2</w:t>
        </w:r>
      </w:hyperlink>
      <w:r>
        <w:rPr>
          <w:rFonts w:ascii="Arial" w:hAnsi="Arial" w:cs="Arial"/>
          <w:color w:val="000000"/>
          <w:sz w:val="20"/>
          <w:szCs w:val="20"/>
        </w:rPr>
        <w:t> incremental Gross NPAs for the reference period.</w:t>
      </w:r>
    </w:p>
    <w:p w:rsidR="00C96881" w:rsidRDefault="00C96881" w:rsidP="00C96881">
      <w:pPr>
        <w:pStyle w:val="NormalWeb"/>
        <w:spacing w:before="0" w:beforeAutospacing="0"/>
        <w:jc w:val="both"/>
        <w:rPr>
          <w:rFonts w:ascii="Arial" w:hAnsi="Arial" w:cs="Arial"/>
          <w:color w:val="000000"/>
          <w:sz w:val="20"/>
          <w:szCs w:val="20"/>
        </w:rPr>
      </w:pPr>
      <w:r>
        <w:rPr>
          <w:rFonts w:ascii="Arial" w:hAnsi="Arial" w:cs="Arial"/>
          <w:color w:val="000000"/>
          <w:sz w:val="20"/>
          <w:szCs w:val="20"/>
        </w:rPr>
        <w:t>Provided further that in the case of UCBs the threshold for reported incremental Gross NPAs specified in paragraph 2(b) above shall be 15 per cent, which shall be reduced progressively in a phased manner, after review.</w:t>
      </w:r>
    </w:p>
    <w:p w:rsidR="00C96881" w:rsidRDefault="00C96881" w:rsidP="00C96881">
      <w:pPr>
        <w:pStyle w:val="NormalWeb"/>
        <w:jc w:val="both"/>
        <w:rPr>
          <w:rFonts w:ascii="Arial" w:hAnsi="Arial" w:cs="Arial"/>
          <w:color w:val="000000"/>
          <w:sz w:val="20"/>
          <w:szCs w:val="20"/>
        </w:rPr>
      </w:pPr>
      <w:r>
        <w:rPr>
          <w:rFonts w:ascii="Arial" w:hAnsi="Arial" w:cs="Arial"/>
          <w:color w:val="000000"/>
          <w:sz w:val="20"/>
          <w:szCs w:val="20"/>
        </w:rPr>
        <w:t>3. The thresholds specified in paragraph (2) above shall be revised for disclosures in annual financial statements for the year ending March 31, 2024, and onwards, as under:</w:t>
      </w:r>
    </w:p>
    <w:tbl>
      <w:tblPr>
        <w:tblW w:w="543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60"/>
        <w:gridCol w:w="4682"/>
        <w:gridCol w:w="2694"/>
        <w:gridCol w:w="1859"/>
      </w:tblGrid>
      <w:tr w:rsidR="00C96881" w:rsidTr="00C96881">
        <w:trPr>
          <w:trHeight w:val="437"/>
          <w:jc w:val="center"/>
        </w:trPr>
        <w:tc>
          <w:tcPr>
            <w:tcW w:w="286" w:type="pct"/>
            <w:tcMar>
              <w:top w:w="0" w:type="dxa"/>
              <w:left w:w="45" w:type="dxa"/>
              <w:bottom w:w="0" w:type="dxa"/>
              <w:right w:w="45" w:type="dxa"/>
            </w:tcMar>
            <w:vAlign w:val="center"/>
            <w:hideMark/>
          </w:tcPr>
          <w:p w:rsidR="00C96881" w:rsidRDefault="00C96881" w:rsidP="00C96881">
            <w:pPr>
              <w:jc w:val="center"/>
              <w:rPr>
                <w:rFonts w:ascii="Arial" w:hAnsi="Arial" w:cs="Arial"/>
                <w:b/>
                <w:bCs/>
                <w:color w:val="000000"/>
                <w:sz w:val="20"/>
                <w:szCs w:val="20"/>
              </w:rPr>
            </w:pPr>
            <w:r>
              <w:rPr>
                <w:rFonts w:ascii="Arial" w:hAnsi="Arial" w:cs="Arial"/>
                <w:b/>
                <w:bCs/>
                <w:color w:val="000000"/>
                <w:sz w:val="20"/>
                <w:szCs w:val="20"/>
              </w:rPr>
              <w:t>Ref.</w:t>
            </w:r>
          </w:p>
        </w:tc>
        <w:tc>
          <w:tcPr>
            <w:tcW w:w="2390" w:type="pct"/>
            <w:tcMar>
              <w:top w:w="0" w:type="dxa"/>
              <w:left w:w="45" w:type="dxa"/>
              <w:bottom w:w="0" w:type="dxa"/>
              <w:right w:w="45" w:type="dxa"/>
            </w:tcMar>
            <w:vAlign w:val="center"/>
            <w:hideMark/>
          </w:tcPr>
          <w:p w:rsidR="00C96881" w:rsidRDefault="00C96881" w:rsidP="00C96881">
            <w:pPr>
              <w:jc w:val="center"/>
              <w:rPr>
                <w:rFonts w:ascii="Arial" w:hAnsi="Arial" w:cs="Arial"/>
                <w:b/>
                <w:bCs/>
                <w:color w:val="000000"/>
                <w:sz w:val="20"/>
                <w:szCs w:val="20"/>
              </w:rPr>
            </w:pPr>
            <w:r>
              <w:rPr>
                <w:rFonts w:ascii="Arial" w:hAnsi="Arial" w:cs="Arial"/>
                <w:b/>
                <w:bCs/>
                <w:color w:val="000000"/>
                <w:sz w:val="20"/>
                <w:szCs w:val="20"/>
              </w:rPr>
              <w:t>Threshold linked to:</w:t>
            </w:r>
          </w:p>
        </w:tc>
        <w:tc>
          <w:tcPr>
            <w:tcW w:w="1375" w:type="pct"/>
            <w:tcMar>
              <w:top w:w="0" w:type="dxa"/>
              <w:left w:w="45" w:type="dxa"/>
              <w:bottom w:w="0" w:type="dxa"/>
              <w:right w:w="45" w:type="dxa"/>
            </w:tcMar>
            <w:vAlign w:val="center"/>
            <w:hideMark/>
          </w:tcPr>
          <w:p w:rsidR="00C96881" w:rsidRDefault="00C96881" w:rsidP="00C96881">
            <w:pPr>
              <w:jc w:val="center"/>
              <w:rPr>
                <w:rFonts w:ascii="Arial" w:hAnsi="Arial" w:cs="Arial"/>
                <w:b/>
                <w:bCs/>
                <w:color w:val="000000"/>
                <w:sz w:val="20"/>
                <w:szCs w:val="20"/>
              </w:rPr>
            </w:pPr>
            <w:r>
              <w:rPr>
                <w:rFonts w:ascii="Arial" w:hAnsi="Arial" w:cs="Arial"/>
                <w:b/>
                <w:bCs/>
                <w:color w:val="000000"/>
                <w:sz w:val="20"/>
                <w:szCs w:val="20"/>
              </w:rPr>
              <w:t>Commercial Banks (%)</w:t>
            </w:r>
          </w:p>
        </w:tc>
        <w:tc>
          <w:tcPr>
            <w:tcW w:w="949" w:type="pct"/>
            <w:tcMar>
              <w:top w:w="0" w:type="dxa"/>
              <w:left w:w="45" w:type="dxa"/>
              <w:bottom w:w="0" w:type="dxa"/>
              <w:right w:w="45" w:type="dxa"/>
            </w:tcMar>
            <w:vAlign w:val="center"/>
            <w:hideMark/>
          </w:tcPr>
          <w:p w:rsidR="00C96881" w:rsidRDefault="00C96881" w:rsidP="00C96881">
            <w:pPr>
              <w:jc w:val="center"/>
              <w:rPr>
                <w:rFonts w:ascii="Arial" w:hAnsi="Arial" w:cs="Arial"/>
                <w:b/>
                <w:bCs/>
                <w:color w:val="000000"/>
                <w:sz w:val="20"/>
                <w:szCs w:val="20"/>
              </w:rPr>
            </w:pPr>
            <w:r>
              <w:rPr>
                <w:rFonts w:ascii="Arial" w:hAnsi="Arial" w:cs="Arial"/>
                <w:b/>
                <w:bCs/>
                <w:color w:val="000000"/>
                <w:sz w:val="20"/>
                <w:szCs w:val="20"/>
              </w:rPr>
              <w:t>UCBs (%)</w:t>
            </w:r>
          </w:p>
        </w:tc>
      </w:tr>
      <w:tr w:rsidR="00C96881" w:rsidTr="00C96881">
        <w:trPr>
          <w:trHeight w:val="442"/>
          <w:jc w:val="center"/>
        </w:trPr>
        <w:tc>
          <w:tcPr>
            <w:tcW w:w="286" w:type="pct"/>
            <w:tcMar>
              <w:top w:w="0" w:type="dxa"/>
              <w:left w:w="45" w:type="dxa"/>
              <w:bottom w:w="0" w:type="dxa"/>
              <w:right w:w="45" w:type="dxa"/>
            </w:tcMar>
            <w:vAlign w:val="center"/>
            <w:hideMark/>
          </w:tcPr>
          <w:p w:rsidR="00C96881" w:rsidRDefault="00C96881" w:rsidP="00C96881">
            <w:pPr>
              <w:jc w:val="center"/>
              <w:rPr>
                <w:rFonts w:ascii="Arial" w:hAnsi="Arial" w:cs="Arial"/>
                <w:color w:val="000000"/>
                <w:sz w:val="20"/>
                <w:szCs w:val="20"/>
              </w:rPr>
            </w:pPr>
            <w:r>
              <w:rPr>
                <w:rFonts w:ascii="Arial" w:hAnsi="Arial" w:cs="Arial"/>
                <w:color w:val="000000"/>
                <w:sz w:val="20"/>
                <w:szCs w:val="20"/>
              </w:rPr>
              <w:t>2(a)</w:t>
            </w:r>
          </w:p>
        </w:tc>
        <w:tc>
          <w:tcPr>
            <w:tcW w:w="2390" w:type="pct"/>
            <w:tcMar>
              <w:top w:w="0" w:type="dxa"/>
              <w:left w:w="45" w:type="dxa"/>
              <w:bottom w:w="0" w:type="dxa"/>
              <w:right w:w="45" w:type="dxa"/>
            </w:tcMar>
            <w:vAlign w:val="center"/>
            <w:hideMark/>
          </w:tcPr>
          <w:p w:rsidR="00C96881" w:rsidRDefault="00C96881" w:rsidP="00C96881">
            <w:pPr>
              <w:jc w:val="both"/>
              <w:rPr>
                <w:rFonts w:ascii="Arial" w:hAnsi="Arial" w:cs="Arial"/>
                <w:color w:val="000000"/>
                <w:sz w:val="20"/>
                <w:szCs w:val="20"/>
              </w:rPr>
            </w:pPr>
            <w:r>
              <w:rPr>
                <w:rFonts w:ascii="Arial" w:hAnsi="Arial" w:cs="Arial"/>
                <w:color w:val="000000"/>
                <w:sz w:val="20"/>
                <w:szCs w:val="20"/>
              </w:rPr>
              <w:t>Reported profit before provisions and contingencies</w:t>
            </w:r>
          </w:p>
        </w:tc>
        <w:tc>
          <w:tcPr>
            <w:tcW w:w="1375" w:type="pct"/>
            <w:tcMar>
              <w:top w:w="0" w:type="dxa"/>
              <w:left w:w="45" w:type="dxa"/>
              <w:bottom w:w="0" w:type="dxa"/>
              <w:right w:w="45" w:type="dxa"/>
            </w:tcMar>
            <w:vAlign w:val="center"/>
            <w:hideMark/>
          </w:tcPr>
          <w:p w:rsidR="00C96881" w:rsidRDefault="00C96881" w:rsidP="00C96881">
            <w:pPr>
              <w:jc w:val="center"/>
              <w:rPr>
                <w:rFonts w:ascii="Arial" w:hAnsi="Arial" w:cs="Arial"/>
                <w:color w:val="000000"/>
                <w:sz w:val="20"/>
                <w:szCs w:val="20"/>
              </w:rPr>
            </w:pPr>
            <w:r>
              <w:rPr>
                <w:rFonts w:ascii="Arial" w:hAnsi="Arial" w:cs="Arial"/>
                <w:color w:val="000000"/>
                <w:sz w:val="20"/>
                <w:szCs w:val="20"/>
              </w:rPr>
              <w:t>5</w:t>
            </w:r>
          </w:p>
        </w:tc>
        <w:tc>
          <w:tcPr>
            <w:tcW w:w="949" w:type="pct"/>
            <w:tcMar>
              <w:top w:w="0" w:type="dxa"/>
              <w:left w:w="45" w:type="dxa"/>
              <w:bottom w:w="0" w:type="dxa"/>
              <w:right w:w="45" w:type="dxa"/>
            </w:tcMar>
            <w:vAlign w:val="center"/>
            <w:hideMark/>
          </w:tcPr>
          <w:p w:rsidR="00C96881" w:rsidRDefault="00C96881" w:rsidP="00C96881">
            <w:pPr>
              <w:jc w:val="center"/>
              <w:rPr>
                <w:rFonts w:ascii="Arial" w:hAnsi="Arial" w:cs="Arial"/>
                <w:color w:val="000000"/>
                <w:sz w:val="20"/>
                <w:szCs w:val="20"/>
              </w:rPr>
            </w:pPr>
            <w:r>
              <w:rPr>
                <w:rFonts w:ascii="Arial" w:hAnsi="Arial" w:cs="Arial"/>
                <w:color w:val="000000"/>
                <w:sz w:val="20"/>
                <w:szCs w:val="20"/>
              </w:rPr>
              <w:t>5</w:t>
            </w:r>
          </w:p>
        </w:tc>
      </w:tr>
      <w:tr w:rsidR="00C96881" w:rsidTr="00C96881">
        <w:trPr>
          <w:trHeight w:val="273"/>
          <w:jc w:val="center"/>
        </w:trPr>
        <w:tc>
          <w:tcPr>
            <w:tcW w:w="286" w:type="pct"/>
            <w:tcMar>
              <w:top w:w="0" w:type="dxa"/>
              <w:left w:w="45" w:type="dxa"/>
              <w:bottom w:w="0" w:type="dxa"/>
              <w:right w:w="45" w:type="dxa"/>
            </w:tcMar>
            <w:vAlign w:val="center"/>
            <w:hideMark/>
          </w:tcPr>
          <w:p w:rsidR="00C96881" w:rsidRDefault="00C96881" w:rsidP="00C96881">
            <w:pPr>
              <w:jc w:val="center"/>
              <w:rPr>
                <w:rFonts w:ascii="Arial" w:hAnsi="Arial" w:cs="Arial"/>
                <w:color w:val="000000"/>
                <w:sz w:val="20"/>
                <w:szCs w:val="20"/>
              </w:rPr>
            </w:pPr>
            <w:r>
              <w:rPr>
                <w:rFonts w:ascii="Arial" w:hAnsi="Arial" w:cs="Arial"/>
                <w:color w:val="000000"/>
                <w:sz w:val="20"/>
                <w:szCs w:val="20"/>
              </w:rPr>
              <w:t>2(b)</w:t>
            </w:r>
          </w:p>
        </w:tc>
        <w:tc>
          <w:tcPr>
            <w:tcW w:w="2390" w:type="pct"/>
            <w:tcMar>
              <w:top w:w="0" w:type="dxa"/>
              <w:left w:w="45" w:type="dxa"/>
              <w:bottom w:w="0" w:type="dxa"/>
              <w:right w:w="45" w:type="dxa"/>
            </w:tcMar>
            <w:vAlign w:val="center"/>
            <w:hideMark/>
          </w:tcPr>
          <w:p w:rsidR="00C96881" w:rsidRDefault="00C96881" w:rsidP="00C96881">
            <w:pPr>
              <w:jc w:val="both"/>
              <w:rPr>
                <w:rFonts w:ascii="Arial" w:hAnsi="Arial" w:cs="Arial"/>
                <w:color w:val="000000"/>
                <w:sz w:val="20"/>
                <w:szCs w:val="20"/>
              </w:rPr>
            </w:pPr>
            <w:r>
              <w:rPr>
                <w:rFonts w:ascii="Arial" w:hAnsi="Arial" w:cs="Arial"/>
                <w:color w:val="000000"/>
                <w:sz w:val="20"/>
                <w:szCs w:val="20"/>
              </w:rPr>
              <w:t>Reported incremental Gross NPA</w:t>
            </w:r>
          </w:p>
        </w:tc>
        <w:tc>
          <w:tcPr>
            <w:tcW w:w="1375" w:type="pct"/>
            <w:tcMar>
              <w:top w:w="0" w:type="dxa"/>
              <w:left w:w="45" w:type="dxa"/>
              <w:bottom w:w="0" w:type="dxa"/>
              <w:right w:w="45" w:type="dxa"/>
            </w:tcMar>
            <w:vAlign w:val="center"/>
            <w:hideMark/>
          </w:tcPr>
          <w:p w:rsidR="00C96881" w:rsidRDefault="00C96881" w:rsidP="00C96881">
            <w:pPr>
              <w:jc w:val="center"/>
              <w:rPr>
                <w:rFonts w:ascii="Arial" w:hAnsi="Arial" w:cs="Arial"/>
                <w:color w:val="000000"/>
                <w:sz w:val="20"/>
                <w:szCs w:val="20"/>
              </w:rPr>
            </w:pPr>
            <w:r>
              <w:rPr>
                <w:rFonts w:ascii="Arial" w:hAnsi="Arial" w:cs="Arial"/>
                <w:color w:val="000000"/>
                <w:sz w:val="20"/>
                <w:szCs w:val="20"/>
              </w:rPr>
              <w:t>5</w:t>
            </w:r>
          </w:p>
        </w:tc>
        <w:tc>
          <w:tcPr>
            <w:tcW w:w="949" w:type="pct"/>
            <w:tcMar>
              <w:top w:w="0" w:type="dxa"/>
              <w:left w:w="45" w:type="dxa"/>
              <w:bottom w:w="0" w:type="dxa"/>
              <w:right w:w="45" w:type="dxa"/>
            </w:tcMar>
            <w:vAlign w:val="center"/>
            <w:hideMark/>
          </w:tcPr>
          <w:p w:rsidR="00C96881" w:rsidRDefault="00C96881" w:rsidP="00C96881">
            <w:pPr>
              <w:jc w:val="center"/>
              <w:rPr>
                <w:rFonts w:ascii="Arial" w:hAnsi="Arial" w:cs="Arial"/>
                <w:color w:val="000000"/>
                <w:sz w:val="20"/>
                <w:szCs w:val="20"/>
              </w:rPr>
            </w:pPr>
            <w:r>
              <w:rPr>
                <w:rFonts w:ascii="Arial" w:hAnsi="Arial" w:cs="Arial"/>
                <w:color w:val="000000"/>
                <w:sz w:val="20"/>
                <w:szCs w:val="20"/>
              </w:rPr>
              <w:t>15*</w:t>
            </w:r>
          </w:p>
        </w:tc>
      </w:tr>
      <w:tr w:rsidR="00C96881" w:rsidTr="00C96881">
        <w:trPr>
          <w:trHeight w:val="197"/>
          <w:jc w:val="center"/>
        </w:trPr>
        <w:tc>
          <w:tcPr>
            <w:tcW w:w="5000" w:type="pct"/>
            <w:gridSpan w:val="4"/>
            <w:tcMar>
              <w:top w:w="0" w:type="dxa"/>
              <w:left w:w="45" w:type="dxa"/>
              <w:bottom w:w="0" w:type="dxa"/>
              <w:right w:w="45" w:type="dxa"/>
            </w:tcMar>
            <w:vAlign w:val="center"/>
            <w:hideMark/>
          </w:tcPr>
          <w:p w:rsidR="00C96881" w:rsidRDefault="00C96881" w:rsidP="00C96881">
            <w:pPr>
              <w:jc w:val="both"/>
              <w:rPr>
                <w:rFonts w:ascii="Arial" w:hAnsi="Arial" w:cs="Arial"/>
                <w:color w:val="000000"/>
                <w:sz w:val="20"/>
                <w:szCs w:val="20"/>
              </w:rPr>
            </w:pPr>
            <w:r>
              <w:rPr>
                <w:rFonts w:ascii="Arial" w:hAnsi="Arial" w:cs="Arial"/>
                <w:color w:val="000000"/>
                <w:sz w:val="20"/>
                <w:szCs w:val="20"/>
              </w:rPr>
              <w:t>*May be reduced subject to review</w:t>
            </w:r>
          </w:p>
        </w:tc>
      </w:tr>
    </w:tbl>
    <w:p w:rsidR="00C96881" w:rsidRDefault="00C96881" w:rsidP="00C96881">
      <w:pPr>
        <w:pStyle w:val="NormalWeb"/>
        <w:spacing w:after="0" w:afterAutospacing="0"/>
        <w:jc w:val="both"/>
        <w:rPr>
          <w:rFonts w:ascii="Arial" w:hAnsi="Arial" w:cs="Arial"/>
          <w:color w:val="000000"/>
          <w:sz w:val="20"/>
          <w:szCs w:val="20"/>
        </w:rPr>
      </w:pPr>
      <w:r>
        <w:rPr>
          <w:rFonts w:ascii="Arial" w:hAnsi="Arial" w:cs="Arial"/>
          <w:color w:val="000000"/>
          <w:sz w:val="20"/>
          <w:szCs w:val="20"/>
        </w:rPr>
        <w:t>Yours faithfully,</w:t>
      </w:r>
    </w:p>
    <w:p w:rsidR="00C96881" w:rsidRDefault="00C96881" w:rsidP="00C96881">
      <w:pPr>
        <w:pStyle w:val="NormalWeb"/>
        <w:spacing w:before="0" w:beforeAutospacing="0"/>
        <w:rPr>
          <w:rFonts w:ascii="Arial" w:hAnsi="Arial" w:cs="Arial"/>
          <w:color w:val="000000"/>
          <w:sz w:val="20"/>
          <w:szCs w:val="20"/>
        </w:rPr>
      </w:pPr>
      <w:r>
        <w:rPr>
          <w:rFonts w:ascii="Arial" w:hAnsi="Arial" w:cs="Arial"/>
          <w:color w:val="000000"/>
          <w:sz w:val="20"/>
          <w:szCs w:val="20"/>
        </w:rPr>
        <w:t>(</w:t>
      </w:r>
      <w:proofErr w:type="spellStart"/>
      <w:r>
        <w:rPr>
          <w:rFonts w:ascii="Arial" w:hAnsi="Arial" w:cs="Arial"/>
          <w:color w:val="000000"/>
          <w:sz w:val="20"/>
          <w:szCs w:val="20"/>
        </w:rPr>
        <w:t>Usha</w:t>
      </w:r>
      <w:proofErr w:type="spellEnd"/>
      <w:r>
        <w:rPr>
          <w:rFonts w:ascii="Arial" w:hAnsi="Arial" w:cs="Arial"/>
          <w:color w:val="000000"/>
          <w:sz w:val="20"/>
          <w:szCs w:val="20"/>
        </w:rPr>
        <w:t xml:space="preserve"> </w:t>
      </w:r>
      <w:proofErr w:type="spellStart"/>
      <w:r>
        <w:rPr>
          <w:rFonts w:ascii="Arial" w:hAnsi="Arial" w:cs="Arial"/>
          <w:color w:val="000000"/>
          <w:sz w:val="20"/>
          <w:szCs w:val="20"/>
        </w:rPr>
        <w:t>Janakiraman</w:t>
      </w:r>
      <w:proofErr w:type="spellEnd"/>
      <w:r>
        <w:rPr>
          <w:rFonts w:ascii="Arial" w:hAnsi="Arial" w:cs="Arial"/>
          <w:color w:val="000000"/>
          <w:sz w:val="20"/>
          <w:szCs w:val="20"/>
        </w:rPr>
        <w:t>)</w:t>
      </w:r>
      <w:r>
        <w:rPr>
          <w:rFonts w:ascii="Arial" w:hAnsi="Arial" w:cs="Arial"/>
          <w:color w:val="000000"/>
          <w:sz w:val="20"/>
          <w:szCs w:val="20"/>
        </w:rPr>
        <w:br/>
        <w:t>Chief General Manager</w:t>
      </w:r>
    </w:p>
    <w:p w:rsidR="00C96881" w:rsidRDefault="00C96881" w:rsidP="00C96881">
      <w:pPr>
        <w:rPr>
          <w:rFonts w:ascii="Arial" w:hAnsi="Arial" w:cs="Arial"/>
          <w:sz w:val="20"/>
          <w:szCs w:val="20"/>
        </w:rPr>
      </w:pPr>
    </w:p>
    <w:p w:rsidR="00C96881" w:rsidRDefault="00C96881" w:rsidP="00C96881">
      <w:pPr>
        <w:rPr>
          <w:rFonts w:ascii="Arial" w:hAnsi="Arial" w:cs="Arial"/>
          <w:sz w:val="20"/>
          <w:szCs w:val="20"/>
        </w:rPr>
      </w:pPr>
    </w:p>
    <w:p w:rsidR="00C96881" w:rsidRDefault="00C96881" w:rsidP="00C96881">
      <w:pPr>
        <w:spacing w:after="0"/>
      </w:pPr>
      <w:r>
        <w:t>More details can be referred to in the below link.</w:t>
      </w:r>
    </w:p>
    <w:p w:rsidR="00C96881" w:rsidRDefault="00C96881" w:rsidP="00C96881">
      <w:pPr>
        <w:rPr>
          <w:rFonts w:ascii="Arial" w:hAnsi="Arial" w:cs="Arial"/>
          <w:bCs/>
          <w:color w:val="000000"/>
          <w:sz w:val="20"/>
          <w:szCs w:val="20"/>
        </w:rPr>
      </w:pPr>
      <w:r>
        <w:rPr>
          <w:rFonts w:ascii="Arial" w:hAnsi="Arial" w:cs="Arial"/>
          <w:bCs/>
          <w:color w:val="000000"/>
          <w:sz w:val="20"/>
          <w:szCs w:val="20"/>
        </w:rPr>
        <w:lastRenderedPageBreak/>
        <w:t xml:space="preserve">Reference Link: </w:t>
      </w:r>
      <w:hyperlink r:id="rId140" w:anchor=":~:text=4(e)%20of%20Annexure%20III,by%20the%20Reserve%20Bank%20of" w:history="1">
        <w:r w:rsidRPr="00735218">
          <w:rPr>
            <w:rStyle w:val="Hyperlink"/>
            <w:rFonts w:ascii="Arial" w:hAnsi="Arial" w:cs="Arial"/>
            <w:bCs/>
            <w:sz w:val="20"/>
            <w:szCs w:val="20"/>
          </w:rPr>
          <w:t>https://www.rbi.org.in/scripts/FS_Notification.aspx?Id=12401&amp;fn=2&amp;Mode=0#:~:text=4(e)%20of%20Annexure%20III,by%20the%20Reserve%20Bank%20of</w:t>
        </w:r>
      </w:hyperlink>
    </w:p>
    <w:p w:rsidR="00C96881" w:rsidRDefault="00C96881" w:rsidP="00C96881">
      <w:pPr>
        <w:rPr>
          <w:rFonts w:ascii="Arial" w:hAnsi="Arial" w:cs="Arial"/>
          <w:b/>
          <w:bCs/>
          <w:color w:val="000000"/>
          <w:sz w:val="20"/>
          <w:szCs w:val="20"/>
        </w:rPr>
      </w:pPr>
      <w:r>
        <w:rPr>
          <w:rFonts w:ascii="Arial" w:hAnsi="Arial" w:cs="Arial"/>
          <w:b/>
          <w:bCs/>
          <w:color w:val="000000"/>
          <w:sz w:val="20"/>
          <w:szCs w:val="20"/>
        </w:rPr>
        <w:t>Reserve Bank of India (Unhedged Foreign Currency Exposure) Directions, 2022</w:t>
      </w:r>
    </w:p>
    <w:p w:rsidR="00C96881" w:rsidRDefault="00C96881" w:rsidP="00C96881">
      <w:pPr>
        <w:pStyle w:val="NormalWeb"/>
        <w:jc w:val="both"/>
        <w:rPr>
          <w:rFonts w:ascii="Arial" w:hAnsi="Arial" w:cs="Arial"/>
          <w:color w:val="000000"/>
          <w:sz w:val="20"/>
          <w:szCs w:val="20"/>
        </w:rPr>
      </w:pPr>
      <w:r>
        <w:rPr>
          <w:rFonts w:ascii="Arial" w:hAnsi="Arial" w:cs="Arial"/>
          <w:color w:val="000000"/>
          <w:sz w:val="20"/>
          <w:szCs w:val="20"/>
        </w:rPr>
        <w:t>RBI/2022-23/131</w:t>
      </w:r>
      <w:r>
        <w:rPr>
          <w:rFonts w:ascii="Arial" w:hAnsi="Arial" w:cs="Arial"/>
          <w:color w:val="000000"/>
          <w:sz w:val="20"/>
          <w:szCs w:val="20"/>
        </w:rPr>
        <w:br/>
        <w:t>DOR.MRG.REC.76/00-00-007/2022-23</w:t>
      </w:r>
    </w:p>
    <w:p w:rsidR="00C96881" w:rsidRDefault="00C96881" w:rsidP="00C96881">
      <w:pPr>
        <w:pStyle w:val="NormalWeb"/>
        <w:jc w:val="right"/>
        <w:rPr>
          <w:rFonts w:ascii="Arial" w:hAnsi="Arial" w:cs="Arial"/>
          <w:color w:val="000000"/>
          <w:sz w:val="20"/>
          <w:szCs w:val="20"/>
        </w:rPr>
      </w:pPr>
      <w:r>
        <w:rPr>
          <w:rFonts w:ascii="Arial" w:hAnsi="Arial" w:cs="Arial"/>
          <w:color w:val="000000"/>
          <w:sz w:val="20"/>
          <w:szCs w:val="20"/>
        </w:rPr>
        <w:t>October 11, 2022</w:t>
      </w:r>
    </w:p>
    <w:p w:rsidR="00C96881" w:rsidRDefault="00C96881" w:rsidP="00C96881">
      <w:pPr>
        <w:pStyle w:val="NormalWeb"/>
        <w:jc w:val="both"/>
        <w:rPr>
          <w:rFonts w:ascii="Arial" w:hAnsi="Arial" w:cs="Arial"/>
          <w:color w:val="000000"/>
          <w:sz w:val="20"/>
          <w:szCs w:val="20"/>
        </w:rPr>
      </w:pPr>
      <w:r>
        <w:rPr>
          <w:rFonts w:ascii="Arial" w:hAnsi="Arial" w:cs="Arial"/>
          <w:color w:val="000000"/>
          <w:sz w:val="20"/>
          <w:szCs w:val="20"/>
        </w:rPr>
        <w:t>Dear Sir / Madam,</w:t>
      </w:r>
    </w:p>
    <w:p w:rsidR="00C96881" w:rsidRDefault="00C96881" w:rsidP="00C96881">
      <w:pPr>
        <w:pStyle w:val="head"/>
        <w:jc w:val="both"/>
        <w:rPr>
          <w:rFonts w:ascii="Arial" w:hAnsi="Arial" w:cs="Arial"/>
          <w:b/>
          <w:bCs/>
          <w:color w:val="000000"/>
          <w:sz w:val="20"/>
          <w:szCs w:val="20"/>
        </w:rPr>
      </w:pPr>
      <w:r>
        <w:rPr>
          <w:rFonts w:ascii="Arial" w:hAnsi="Arial" w:cs="Arial"/>
          <w:b/>
          <w:bCs/>
          <w:color w:val="000000"/>
          <w:sz w:val="20"/>
          <w:szCs w:val="20"/>
        </w:rPr>
        <w:t>Reserve Bank of India (Unhedged Foreign Currency Exposure) Directions, 2022</w:t>
      </w:r>
    </w:p>
    <w:p w:rsidR="00C96881" w:rsidRDefault="00C96881" w:rsidP="00C96881">
      <w:pPr>
        <w:pStyle w:val="NormalWeb"/>
        <w:jc w:val="both"/>
        <w:rPr>
          <w:rFonts w:ascii="Arial" w:hAnsi="Arial" w:cs="Arial"/>
          <w:color w:val="000000"/>
          <w:sz w:val="20"/>
          <w:szCs w:val="20"/>
        </w:rPr>
      </w:pPr>
      <w:r>
        <w:rPr>
          <w:rFonts w:ascii="Arial" w:hAnsi="Arial" w:cs="Arial"/>
          <w:color w:val="000000"/>
          <w:sz w:val="20"/>
          <w:szCs w:val="20"/>
        </w:rPr>
        <w:t>The Reserve Bank of India has, from time to time, issued several guidelines / instructions / directives to the banks on Unhedged Foreign Currency Exposure (UFCE) of the entities which have borrowed from banks.</w:t>
      </w:r>
    </w:p>
    <w:p w:rsidR="00C96881" w:rsidRDefault="00C96881" w:rsidP="00C96881">
      <w:pPr>
        <w:pStyle w:val="NormalWeb"/>
        <w:jc w:val="both"/>
        <w:rPr>
          <w:rFonts w:ascii="Arial" w:hAnsi="Arial" w:cs="Arial"/>
          <w:color w:val="000000"/>
          <w:sz w:val="20"/>
          <w:szCs w:val="20"/>
        </w:rPr>
      </w:pPr>
      <w:r>
        <w:rPr>
          <w:rFonts w:ascii="Arial" w:hAnsi="Arial" w:cs="Arial"/>
          <w:color w:val="000000"/>
          <w:sz w:val="20"/>
          <w:szCs w:val="20"/>
        </w:rPr>
        <w:t>2. We have received references from banks seeking clarification on various aspects including inter-alia clarity in the definition of ‘entities’ for which banks shall assess UFCE, exempted exposures / entities, alternative method for smaller entities, assessment of UFCE of entities incorporated outside India by overseas subsidiaries / branches of Indian banks etc.</w:t>
      </w:r>
    </w:p>
    <w:p w:rsidR="00C96881" w:rsidRDefault="00C96881" w:rsidP="00C96881">
      <w:pPr>
        <w:pStyle w:val="NormalWeb"/>
        <w:jc w:val="both"/>
        <w:rPr>
          <w:rFonts w:ascii="Arial" w:hAnsi="Arial" w:cs="Arial"/>
          <w:color w:val="000000"/>
          <w:sz w:val="20"/>
          <w:szCs w:val="20"/>
        </w:rPr>
      </w:pPr>
      <w:r>
        <w:rPr>
          <w:rFonts w:ascii="Arial" w:hAnsi="Arial" w:cs="Arial"/>
          <w:color w:val="000000"/>
          <w:sz w:val="20"/>
          <w:szCs w:val="20"/>
        </w:rPr>
        <w:t>3. Accordingly, a comprehensive review of the extant guidelines has been undertaken and all the existing instructions on the subject including the revisions / clarifications on the issues stated above have been consolidated in the </w:t>
      </w:r>
      <w:hyperlink r:id="rId141" w:anchor="DI77" w:history="1">
        <w:r>
          <w:rPr>
            <w:rStyle w:val="Hyperlink"/>
            <w:rFonts w:ascii="Arial" w:hAnsi="Arial" w:cs="Arial"/>
            <w:sz w:val="20"/>
            <w:szCs w:val="20"/>
          </w:rPr>
          <w:t>Directions enclosed</w:t>
        </w:r>
      </w:hyperlink>
      <w:r>
        <w:rPr>
          <w:rFonts w:ascii="Arial" w:hAnsi="Arial" w:cs="Arial"/>
          <w:color w:val="000000"/>
          <w:sz w:val="20"/>
          <w:szCs w:val="20"/>
        </w:rPr>
        <w:t> herewith. An </w:t>
      </w:r>
      <w:hyperlink r:id="rId142" w:anchor="EN" w:history="1">
        <w:r>
          <w:rPr>
            <w:rStyle w:val="Hyperlink"/>
            <w:rFonts w:ascii="Arial" w:hAnsi="Arial" w:cs="Arial"/>
            <w:sz w:val="20"/>
            <w:szCs w:val="20"/>
          </w:rPr>
          <w:t>Explanatory Note</w:t>
        </w:r>
      </w:hyperlink>
      <w:r>
        <w:rPr>
          <w:rFonts w:ascii="Arial" w:hAnsi="Arial" w:cs="Arial"/>
          <w:color w:val="000000"/>
          <w:sz w:val="20"/>
          <w:szCs w:val="20"/>
        </w:rPr>
        <w:t> providing the background for these Directions is also enclosed.</w:t>
      </w:r>
    </w:p>
    <w:p w:rsidR="00C96881" w:rsidRDefault="00C96881" w:rsidP="00C96881">
      <w:pPr>
        <w:pStyle w:val="head"/>
        <w:jc w:val="both"/>
        <w:rPr>
          <w:rFonts w:ascii="Arial" w:hAnsi="Arial" w:cs="Arial"/>
          <w:b/>
          <w:bCs/>
          <w:color w:val="000000"/>
          <w:sz w:val="20"/>
          <w:szCs w:val="20"/>
        </w:rPr>
      </w:pPr>
      <w:r>
        <w:rPr>
          <w:rFonts w:ascii="Arial" w:hAnsi="Arial" w:cs="Arial"/>
          <w:b/>
          <w:bCs/>
          <w:color w:val="000000"/>
          <w:sz w:val="20"/>
          <w:szCs w:val="20"/>
        </w:rPr>
        <w:t>Applicability</w:t>
      </w:r>
    </w:p>
    <w:p w:rsidR="00C96881" w:rsidRDefault="00C96881" w:rsidP="00C96881">
      <w:pPr>
        <w:pStyle w:val="NormalWeb"/>
        <w:jc w:val="both"/>
        <w:rPr>
          <w:rFonts w:ascii="Arial" w:hAnsi="Arial" w:cs="Arial"/>
          <w:color w:val="000000"/>
          <w:sz w:val="20"/>
          <w:szCs w:val="20"/>
        </w:rPr>
      </w:pPr>
      <w:r>
        <w:rPr>
          <w:rFonts w:ascii="Arial" w:hAnsi="Arial" w:cs="Arial"/>
          <w:color w:val="000000"/>
          <w:sz w:val="20"/>
          <w:szCs w:val="20"/>
        </w:rPr>
        <w:t>4. This circular is applicable to all commercial banks (excluding Payments Banks and Regional Rural Banks).</w:t>
      </w:r>
    </w:p>
    <w:p w:rsidR="00C96881" w:rsidRDefault="00C96881" w:rsidP="00C96881">
      <w:pPr>
        <w:pStyle w:val="NormalWeb"/>
        <w:jc w:val="both"/>
        <w:rPr>
          <w:rFonts w:ascii="Arial" w:hAnsi="Arial" w:cs="Arial"/>
          <w:color w:val="000000"/>
          <w:sz w:val="20"/>
          <w:szCs w:val="20"/>
        </w:rPr>
      </w:pPr>
      <w:r>
        <w:rPr>
          <w:rFonts w:ascii="Arial" w:hAnsi="Arial" w:cs="Arial"/>
          <w:color w:val="000000"/>
          <w:sz w:val="20"/>
          <w:szCs w:val="20"/>
        </w:rPr>
        <w:t>5. These instructions shall come into force from January 1, 2023.</w:t>
      </w:r>
    </w:p>
    <w:p w:rsidR="00C96881" w:rsidRDefault="00C96881" w:rsidP="00C96881">
      <w:pPr>
        <w:pStyle w:val="NormalWeb"/>
        <w:jc w:val="both"/>
        <w:rPr>
          <w:rFonts w:ascii="Arial" w:hAnsi="Arial" w:cs="Arial"/>
          <w:color w:val="000000"/>
          <w:sz w:val="20"/>
          <w:szCs w:val="20"/>
        </w:rPr>
      </w:pPr>
      <w:r>
        <w:rPr>
          <w:rFonts w:ascii="Arial" w:hAnsi="Arial" w:cs="Arial"/>
          <w:color w:val="000000"/>
          <w:sz w:val="20"/>
          <w:szCs w:val="20"/>
        </w:rPr>
        <w:t>Yours faithfully,</w:t>
      </w:r>
    </w:p>
    <w:p w:rsidR="00C96881" w:rsidRDefault="00C96881" w:rsidP="00C96881">
      <w:pPr>
        <w:pStyle w:val="NormalWeb"/>
        <w:rPr>
          <w:rFonts w:ascii="Arial" w:hAnsi="Arial" w:cs="Arial"/>
          <w:color w:val="000000"/>
          <w:sz w:val="20"/>
          <w:szCs w:val="20"/>
        </w:rPr>
      </w:pPr>
      <w:r>
        <w:rPr>
          <w:rFonts w:ascii="Arial" w:hAnsi="Arial" w:cs="Arial"/>
          <w:color w:val="000000"/>
          <w:sz w:val="20"/>
          <w:szCs w:val="20"/>
        </w:rPr>
        <w:t>(</w:t>
      </w:r>
      <w:proofErr w:type="spellStart"/>
      <w:r>
        <w:rPr>
          <w:rFonts w:ascii="Arial" w:hAnsi="Arial" w:cs="Arial"/>
          <w:color w:val="000000"/>
          <w:sz w:val="20"/>
          <w:szCs w:val="20"/>
        </w:rPr>
        <w:t>Usha</w:t>
      </w:r>
      <w:proofErr w:type="spellEnd"/>
      <w:r>
        <w:rPr>
          <w:rFonts w:ascii="Arial" w:hAnsi="Arial" w:cs="Arial"/>
          <w:color w:val="000000"/>
          <w:sz w:val="20"/>
          <w:szCs w:val="20"/>
        </w:rPr>
        <w:t xml:space="preserve"> </w:t>
      </w:r>
      <w:proofErr w:type="spellStart"/>
      <w:r>
        <w:rPr>
          <w:rFonts w:ascii="Arial" w:hAnsi="Arial" w:cs="Arial"/>
          <w:color w:val="000000"/>
          <w:sz w:val="20"/>
          <w:szCs w:val="20"/>
        </w:rPr>
        <w:t>Janakiraman</w:t>
      </w:r>
      <w:proofErr w:type="spellEnd"/>
      <w:r>
        <w:rPr>
          <w:rFonts w:ascii="Arial" w:hAnsi="Arial" w:cs="Arial"/>
          <w:color w:val="000000"/>
          <w:sz w:val="20"/>
          <w:szCs w:val="20"/>
        </w:rPr>
        <w:t>)</w:t>
      </w:r>
      <w:r>
        <w:rPr>
          <w:rFonts w:ascii="Arial" w:hAnsi="Arial" w:cs="Arial"/>
          <w:color w:val="000000"/>
          <w:sz w:val="20"/>
          <w:szCs w:val="20"/>
        </w:rPr>
        <w:br/>
        <w:t>Chief General Manager</w:t>
      </w:r>
    </w:p>
    <w:p w:rsidR="00C96881" w:rsidRDefault="00C96881" w:rsidP="00C96881">
      <w:pPr>
        <w:rPr>
          <w:rFonts w:ascii="Arial" w:hAnsi="Arial" w:cs="Arial"/>
          <w:sz w:val="20"/>
          <w:szCs w:val="20"/>
        </w:rPr>
      </w:pPr>
    </w:p>
    <w:p w:rsidR="00C96881" w:rsidRDefault="00C96881" w:rsidP="00C96881">
      <w:pPr>
        <w:rPr>
          <w:rFonts w:ascii="Arial" w:hAnsi="Arial" w:cs="Arial"/>
          <w:sz w:val="20"/>
          <w:szCs w:val="20"/>
        </w:rPr>
      </w:pPr>
    </w:p>
    <w:p w:rsidR="00C96881" w:rsidRDefault="00C96881" w:rsidP="00C96881">
      <w:r>
        <w:t>More details can be referred to in the below link.</w:t>
      </w:r>
    </w:p>
    <w:p w:rsidR="00C96881" w:rsidRDefault="00C96881" w:rsidP="00C96881">
      <w:pPr>
        <w:rPr>
          <w:rFonts w:ascii="Arial" w:hAnsi="Arial" w:cs="Arial"/>
          <w:bCs/>
          <w:color w:val="000000"/>
          <w:sz w:val="20"/>
          <w:szCs w:val="20"/>
        </w:rPr>
      </w:pPr>
      <w:r>
        <w:rPr>
          <w:rFonts w:ascii="Arial" w:hAnsi="Arial" w:cs="Arial"/>
          <w:bCs/>
          <w:color w:val="000000"/>
          <w:sz w:val="20"/>
          <w:szCs w:val="20"/>
        </w:rPr>
        <w:t xml:space="preserve">Reference Link: </w:t>
      </w:r>
      <w:hyperlink r:id="rId143" w:history="1">
        <w:r w:rsidRPr="009A1791">
          <w:rPr>
            <w:rStyle w:val="Hyperlink"/>
            <w:rFonts w:ascii="Arial" w:hAnsi="Arial" w:cs="Arial"/>
            <w:bCs/>
            <w:sz w:val="20"/>
            <w:szCs w:val="20"/>
          </w:rPr>
          <w:t>https://rbi.org.in/Scripts/NotificationUser.aspx?Id=12402&amp;Mode=0</w:t>
        </w:r>
      </w:hyperlink>
    </w:p>
    <w:p w:rsidR="00C96881" w:rsidRDefault="00C96881" w:rsidP="00C96881">
      <w:pPr>
        <w:rPr>
          <w:rFonts w:ascii="Arial" w:hAnsi="Arial" w:cs="Arial"/>
          <w:sz w:val="20"/>
          <w:szCs w:val="20"/>
        </w:rPr>
      </w:pPr>
    </w:p>
    <w:p w:rsidR="00C96881" w:rsidRDefault="00C96881" w:rsidP="00C96881">
      <w:pPr>
        <w:rPr>
          <w:rFonts w:ascii="Arial" w:hAnsi="Arial" w:cs="Arial"/>
          <w:sz w:val="20"/>
          <w:szCs w:val="20"/>
        </w:rPr>
      </w:pPr>
    </w:p>
    <w:p w:rsidR="00C96881" w:rsidRDefault="00C96881" w:rsidP="00C96881">
      <w:pPr>
        <w:rPr>
          <w:rFonts w:ascii="Arial" w:hAnsi="Arial" w:cs="Arial"/>
          <w:sz w:val="20"/>
          <w:szCs w:val="20"/>
        </w:rPr>
      </w:pPr>
    </w:p>
    <w:p w:rsidR="00C96881" w:rsidRDefault="00C96881" w:rsidP="00C96881">
      <w:pPr>
        <w:rPr>
          <w:rFonts w:ascii="Arial" w:hAnsi="Arial" w:cs="Arial"/>
          <w:sz w:val="20"/>
          <w:szCs w:val="20"/>
        </w:rPr>
      </w:pPr>
    </w:p>
    <w:p w:rsidR="00C96881" w:rsidRDefault="00C96881" w:rsidP="00C96881">
      <w:pPr>
        <w:rPr>
          <w:rFonts w:ascii="Arial" w:hAnsi="Arial" w:cs="Arial"/>
          <w:sz w:val="20"/>
          <w:szCs w:val="20"/>
        </w:rPr>
      </w:pPr>
    </w:p>
    <w:p w:rsidR="00C96881" w:rsidRDefault="00C96881" w:rsidP="00C96881">
      <w:pPr>
        <w:rPr>
          <w:rFonts w:ascii="Arial" w:hAnsi="Arial" w:cs="Arial"/>
          <w:sz w:val="20"/>
          <w:szCs w:val="20"/>
        </w:rPr>
      </w:pPr>
    </w:p>
    <w:p w:rsidR="00C96881" w:rsidRDefault="00C96881" w:rsidP="00C96881">
      <w:pPr>
        <w:rPr>
          <w:rFonts w:ascii="Arial" w:hAnsi="Arial" w:cs="Arial"/>
          <w:bCs/>
          <w:color w:val="000000"/>
          <w:sz w:val="20"/>
          <w:szCs w:val="20"/>
        </w:rPr>
      </w:pPr>
    </w:p>
    <w:p w:rsidR="00C96881" w:rsidRDefault="00C96881" w:rsidP="00C96881">
      <w:pPr>
        <w:rPr>
          <w:rFonts w:ascii="Arial" w:hAnsi="Arial" w:cs="Arial"/>
          <w:bCs/>
          <w:color w:val="000000"/>
          <w:sz w:val="20"/>
          <w:szCs w:val="20"/>
        </w:rPr>
      </w:pPr>
    </w:p>
    <w:p w:rsidR="00C96881" w:rsidRDefault="00C96881" w:rsidP="00C96881">
      <w:pPr>
        <w:pStyle w:val="NormalWeb"/>
        <w:rPr>
          <w:rFonts w:ascii="Arial" w:hAnsi="Arial" w:cs="Arial"/>
          <w:b/>
          <w:bCs/>
          <w:color w:val="000000"/>
          <w:sz w:val="20"/>
          <w:szCs w:val="20"/>
        </w:rPr>
      </w:pPr>
      <w:r>
        <w:rPr>
          <w:rFonts w:ascii="Arial" w:hAnsi="Arial" w:cs="Arial"/>
          <w:b/>
          <w:bCs/>
          <w:color w:val="000000"/>
          <w:sz w:val="20"/>
          <w:szCs w:val="20"/>
        </w:rPr>
        <w:t>Claims Received from the National Credit Guarantee Trustee Company Ltd (NCGTC) - Classification for the Purpose of Maintenance of Cash Reserve Ratio (CRR)/Statutory Liquidity Ratio (SLR)</w:t>
      </w:r>
    </w:p>
    <w:p w:rsidR="00C96881" w:rsidRDefault="00C96881" w:rsidP="00C96881">
      <w:pPr>
        <w:pStyle w:val="NormalWeb"/>
        <w:jc w:val="both"/>
        <w:rPr>
          <w:rFonts w:ascii="Arial" w:hAnsi="Arial" w:cs="Arial"/>
          <w:color w:val="000000"/>
          <w:sz w:val="20"/>
          <w:szCs w:val="20"/>
        </w:rPr>
      </w:pPr>
      <w:r>
        <w:rPr>
          <w:rFonts w:ascii="Arial" w:hAnsi="Arial" w:cs="Arial"/>
          <w:color w:val="000000"/>
          <w:sz w:val="20"/>
          <w:szCs w:val="20"/>
        </w:rPr>
        <w:t>RBI/2022-23/132</w:t>
      </w:r>
      <w:r>
        <w:rPr>
          <w:rFonts w:ascii="Arial" w:hAnsi="Arial" w:cs="Arial"/>
          <w:color w:val="000000"/>
          <w:sz w:val="20"/>
          <w:szCs w:val="20"/>
        </w:rPr>
        <w:br/>
        <w:t>DOR.RET.REC.79/12.01.001/2022-23</w:t>
      </w:r>
    </w:p>
    <w:p w:rsidR="00C96881" w:rsidRDefault="00C96881" w:rsidP="00C96881">
      <w:pPr>
        <w:pStyle w:val="NormalWeb"/>
        <w:jc w:val="right"/>
        <w:rPr>
          <w:rFonts w:ascii="Arial" w:hAnsi="Arial" w:cs="Arial"/>
          <w:color w:val="000000"/>
          <w:sz w:val="20"/>
          <w:szCs w:val="20"/>
        </w:rPr>
      </w:pPr>
      <w:r>
        <w:rPr>
          <w:rFonts w:ascii="Arial" w:hAnsi="Arial" w:cs="Arial"/>
          <w:color w:val="000000"/>
          <w:sz w:val="20"/>
          <w:szCs w:val="20"/>
        </w:rPr>
        <w:t>October 13, 2022</w:t>
      </w:r>
    </w:p>
    <w:p w:rsidR="00C96881" w:rsidRDefault="00C96881" w:rsidP="00C96881">
      <w:pPr>
        <w:pStyle w:val="NormalWeb"/>
        <w:rPr>
          <w:rFonts w:ascii="Arial" w:hAnsi="Arial" w:cs="Arial"/>
          <w:color w:val="000000"/>
          <w:sz w:val="20"/>
          <w:szCs w:val="20"/>
        </w:rPr>
      </w:pPr>
      <w:r>
        <w:rPr>
          <w:rFonts w:ascii="Arial" w:hAnsi="Arial" w:cs="Arial"/>
          <w:color w:val="000000"/>
          <w:sz w:val="20"/>
          <w:szCs w:val="20"/>
        </w:rPr>
        <w:t>All Scheduled Commercial Banks (including Regional Rural Banks)</w:t>
      </w:r>
      <w:r>
        <w:rPr>
          <w:rFonts w:ascii="Arial" w:hAnsi="Arial" w:cs="Arial"/>
          <w:color w:val="000000"/>
          <w:sz w:val="20"/>
          <w:szCs w:val="20"/>
        </w:rPr>
        <w:br/>
        <w:t>Local Area Banks, Small Finance Banks, Payments Banks</w:t>
      </w:r>
      <w:r>
        <w:rPr>
          <w:rFonts w:ascii="Arial" w:hAnsi="Arial" w:cs="Arial"/>
          <w:color w:val="000000"/>
          <w:sz w:val="20"/>
          <w:szCs w:val="20"/>
        </w:rPr>
        <w:br/>
        <w:t>Primary (Urban) Co-operative Banks (UCBs)</w:t>
      </w:r>
      <w:r>
        <w:rPr>
          <w:rFonts w:ascii="Arial" w:hAnsi="Arial" w:cs="Arial"/>
          <w:color w:val="000000"/>
          <w:sz w:val="20"/>
          <w:szCs w:val="20"/>
        </w:rPr>
        <w:br/>
        <w:t>State and Central Co-operative Banks (</w:t>
      </w:r>
      <w:proofErr w:type="spellStart"/>
      <w:r>
        <w:rPr>
          <w:rFonts w:ascii="Arial" w:hAnsi="Arial" w:cs="Arial"/>
          <w:color w:val="000000"/>
          <w:sz w:val="20"/>
          <w:szCs w:val="20"/>
        </w:rPr>
        <w:t>StCBs</w:t>
      </w:r>
      <w:proofErr w:type="spellEnd"/>
      <w:r>
        <w:rPr>
          <w:rFonts w:ascii="Arial" w:hAnsi="Arial" w:cs="Arial"/>
          <w:color w:val="000000"/>
          <w:sz w:val="20"/>
          <w:szCs w:val="20"/>
        </w:rPr>
        <w:t>/CCBs)</w:t>
      </w:r>
    </w:p>
    <w:p w:rsidR="00C96881" w:rsidRDefault="00C96881" w:rsidP="00C96881">
      <w:pPr>
        <w:pStyle w:val="NormalWeb"/>
        <w:jc w:val="both"/>
        <w:rPr>
          <w:rFonts w:ascii="Arial" w:hAnsi="Arial" w:cs="Arial"/>
          <w:color w:val="000000"/>
          <w:sz w:val="20"/>
          <w:szCs w:val="20"/>
        </w:rPr>
      </w:pPr>
      <w:r>
        <w:rPr>
          <w:rFonts w:ascii="Arial" w:hAnsi="Arial" w:cs="Arial"/>
          <w:color w:val="000000"/>
          <w:sz w:val="20"/>
          <w:szCs w:val="20"/>
        </w:rPr>
        <w:t>Madam/Dear Sir,</w:t>
      </w:r>
    </w:p>
    <w:p w:rsidR="00C96881" w:rsidRDefault="00C96881" w:rsidP="00C96881">
      <w:pPr>
        <w:pStyle w:val="head"/>
        <w:jc w:val="both"/>
        <w:rPr>
          <w:rFonts w:ascii="Arial" w:hAnsi="Arial" w:cs="Arial"/>
          <w:b/>
          <w:bCs/>
          <w:color w:val="000000"/>
          <w:sz w:val="20"/>
          <w:szCs w:val="20"/>
        </w:rPr>
      </w:pPr>
      <w:r>
        <w:rPr>
          <w:rFonts w:ascii="Arial" w:hAnsi="Arial" w:cs="Arial"/>
          <w:b/>
          <w:bCs/>
          <w:color w:val="000000"/>
          <w:sz w:val="20"/>
          <w:szCs w:val="20"/>
        </w:rPr>
        <w:t>Claims Received from the National Credit Guarantee Trustee Company Ltd (NCGTC) - Classification for the Purpose of Maintenance of Cash Reserve Ratio (CRR)/Statutory Liquidity Ratio (SLR)</w:t>
      </w:r>
    </w:p>
    <w:p w:rsidR="00C96881" w:rsidRDefault="00C96881" w:rsidP="00C96881">
      <w:pPr>
        <w:pStyle w:val="NormalWeb"/>
        <w:jc w:val="both"/>
        <w:rPr>
          <w:rFonts w:ascii="Arial" w:hAnsi="Arial" w:cs="Arial"/>
          <w:color w:val="000000"/>
          <w:sz w:val="20"/>
          <w:szCs w:val="20"/>
        </w:rPr>
      </w:pPr>
      <w:r>
        <w:rPr>
          <w:rFonts w:ascii="Arial" w:hAnsi="Arial" w:cs="Arial"/>
          <w:color w:val="000000"/>
          <w:sz w:val="20"/>
          <w:szCs w:val="20"/>
        </w:rPr>
        <w:t>Please refer to para 9 (Liabilities not to be included for NDTL computation) of </w:t>
      </w:r>
      <w:hyperlink r:id="rId144" w:tgtFrame="_blank" w:history="1">
        <w:r>
          <w:rPr>
            <w:rStyle w:val="Hyperlink"/>
            <w:rFonts w:ascii="Arial" w:hAnsi="Arial" w:cs="Arial"/>
            <w:sz w:val="20"/>
            <w:szCs w:val="20"/>
          </w:rPr>
          <w:t>Master Direction on CRR/SLR – 2021 dated July 20, 2021, as amended on April 06, 2022</w:t>
        </w:r>
      </w:hyperlink>
      <w:r>
        <w:rPr>
          <w:rFonts w:ascii="Arial" w:hAnsi="Arial" w:cs="Arial"/>
          <w:color w:val="000000"/>
          <w:sz w:val="20"/>
          <w:szCs w:val="20"/>
        </w:rPr>
        <w:t>.</w:t>
      </w:r>
    </w:p>
    <w:p w:rsidR="00C96881" w:rsidRDefault="00C96881" w:rsidP="00C96881">
      <w:pPr>
        <w:pStyle w:val="NormalWeb"/>
        <w:jc w:val="both"/>
        <w:rPr>
          <w:rFonts w:ascii="Arial" w:hAnsi="Arial" w:cs="Arial"/>
          <w:color w:val="000000"/>
          <w:sz w:val="20"/>
          <w:szCs w:val="20"/>
        </w:rPr>
      </w:pPr>
      <w:r>
        <w:rPr>
          <w:rFonts w:ascii="Arial" w:hAnsi="Arial" w:cs="Arial"/>
          <w:color w:val="000000"/>
          <w:sz w:val="20"/>
          <w:szCs w:val="20"/>
        </w:rPr>
        <w:t>2. In this connection, it has been decided that the amounts received by a bank from the National Credit Guarantee Trustee Company Ltd towards claims in respect of guarantees invoked and held by them pending adjustment of the same towards the relative advances, need not be treated as outside liabilities for the purpose of computation of NDTL for CRR and SLR.</w:t>
      </w:r>
    </w:p>
    <w:p w:rsidR="00C96881" w:rsidRDefault="00C96881" w:rsidP="00C96881">
      <w:pPr>
        <w:pStyle w:val="NormalWeb"/>
        <w:jc w:val="both"/>
        <w:rPr>
          <w:rFonts w:ascii="Arial" w:hAnsi="Arial" w:cs="Arial"/>
          <w:color w:val="000000"/>
          <w:sz w:val="20"/>
          <w:szCs w:val="20"/>
        </w:rPr>
      </w:pPr>
      <w:r>
        <w:rPr>
          <w:rFonts w:ascii="Arial" w:hAnsi="Arial" w:cs="Arial"/>
          <w:color w:val="000000"/>
          <w:sz w:val="20"/>
          <w:szCs w:val="20"/>
        </w:rPr>
        <w:t>3. Accordingly, para 9 of the Master Direction on CRR/SLR – 2021 will henceforth include “Amount received by the eligible banks from National Credit Guarantee Trustee Company Limited (NCGTC) by invoking the guarantee towards claims and pending adjustments thereof”.</w:t>
      </w:r>
    </w:p>
    <w:p w:rsidR="00C96881" w:rsidRDefault="00C96881" w:rsidP="00C96881">
      <w:pPr>
        <w:pStyle w:val="NormalWeb"/>
        <w:jc w:val="both"/>
        <w:rPr>
          <w:rFonts w:ascii="Arial" w:hAnsi="Arial" w:cs="Arial"/>
          <w:color w:val="000000"/>
          <w:sz w:val="20"/>
          <w:szCs w:val="20"/>
        </w:rPr>
      </w:pPr>
      <w:r>
        <w:rPr>
          <w:rFonts w:ascii="Arial" w:hAnsi="Arial" w:cs="Arial"/>
          <w:color w:val="000000"/>
          <w:sz w:val="20"/>
          <w:szCs w:val="20"/>
        </w:rPr>
        <w:t>Yours faithfully</w:t>
      </w:r>
    </w:p>
    <w:p w:rsidR="00C96881" w:rsidRDefault="00C96881" w:rsidP="00C96881">
      <w:pPr>
        <w:pStyle w:val="NormalWeb"/>
        <w:rPr>
          <w:rFonts w:ascii="Arial" w:hAnsi="Arial" w:cs="Arial"/>
          <w:color w:val="000000"/>
          <w:sz w:val="20"/>
          <w:szCs w:val="20"/>
        </w:rPr>
      </w:pPr>
      <w:r>
        <w:rPr>
          <w:rFonts w:ascii="Arial" w:hAnsi="Arial" w:cs="Arial"/>
          <w:color w:val="000000"/>
          <w:sz w:val="20"/>
          <w:szCs w:val="20"/>
        </w:rPr>
        <w:t xml:space="preserve">(Prakash </w:t>
      </w:r>
      <w:proofErr w:type="spellStart"/>
      <w:r>
        <w:rPr>
          <w:rFonts w:ascii="Arial" w:hAnsi="Arial" w:cs="Arial"/>
          <w:color w:val="000000"/>
          <w:sz w:val="20"/>
          <w:szCs w:val="20"/>
        </w:rPr>
        <w:t>Baliarsingh</w:t>
      </w:r>
      <w:proofErr w:type="spellEnd"/>
      <w:r>
        <w:rPr>
          <w:rFonts w:ascii="Arial" w:hAnsi="Arial" w:cs="Arial"/>
          <w:color w:val="000000"/>
          <w:sz w:val="20"/>
          <w:szCs w:val="20"/>
        </w:rPr>
        <w:t>)</w:t>
      </w:r>
      <w:r>
        <w:rPr>
          <w:rFonts w:ascii="Arial" w:hAnsi="Arial" w:cs="Arial"/>
          <w:color w:val="000000"/>
          <w:sz w:val="20"/>
          <w:szCs w:val="20"/>
        </w:rPr>
        <w:br/>
        <w:t>Chief General Manager</w:t>
      </w:r>
    </w:p>
    <w:p w:rsidR="00C96881" w:rsidRDefault="00C96881" w:rsidP="00C96881"/>
    <w:p w:rsidR="00C96881" w:rsidRDefault="00C96881" w:rsidP="00C96881"/>
    <w:p w:rsidR="00C96881" w:rsidRDefault="00C96881" w:rsidP="00C96881">
      <w:r>
        <w:t>More details can be referred to in the below link.</w:t>
      </w:r>
    </w:p>
    <w:p w:rsidR="00C96881" w:rsidRDefault="00C96881" w:rsidP="00C96881">
      <w:pPr>
        <w:pStyle w:val="NormalWeb"/>
        <w:rPr>
          <w:rFonts w:ascii="Arial" w:hAnsi="Arial" w:cs="Arial"/>
          <w:color w:val="000000"/>
          <w:sz w:val="20"/>
          <w:szCs w:val="20"/>
        </w:rPr>
      </w:pPr>
      <w:r>
        <w:rPr>
          <w:rFonts w:ascii="Arial" w:hAnsi="Arial" w:cs="Arial"/>
          <w:bCs/>
          <w:color w:val="000000"/>
          <w:sz w:val="20"/>
          <w:szCs w:val="20"/>
        </w:rPr>
        <w:t xml:space="preserve">Reference Link: </w:t>
      </w:r>
      <w:hyperlink r:id="rId145" w:history="1">
        <w:r w:rsidRPr="006865D6">
          <w:rPr>
            <w:rStyle w:val="Hyperlink"/>
            <w:rFonts w:ascii="Arial" w:hAnsi="Arial" w:cs="Arial"/>
            <w:sz w:val="20"/>
            <w:szCs w:val="20"/>
          </w:rPr>
          <w:t>https://www.rbi.org.in/scripts/FS_Notification.aspx?Id=12403&amp;fn=2&amp;Mode=0</w:t>
        </w:r>
      </w:hyperlink>
    </w:p>
    <w:p w:rsidR="00C96881" w:rsidRDefault="00C96881" w:rsidP="00C96881">
      <w:pPr>
        <w:pStyle w:val="NormalWeb"/>
        <w:rPr>
          <w:rFonts w:ascii="Arial" w:hAnsi="Arial" w:cs="Arial"/>
          <w:color w:val="000000"/>
          <w:sz w:val="20"/>
          <w:szCs w:val="20"/>
        </w:rPr>
      </w:pPr>
    </w:p>
    <w:p w:rsidR="00C96881" w:rsidRDefault="00C96881" w:rsidP="00C96881">
      <w:pPr>
        <w:pStyle w:val="NormalWeb"/>
        <w:rPr>
          <w:rFonts w:ascii="Arial" w:hAnsi="Arial" w:cs="Arial"/>
          <w:color w:val="000000"/>
          <w:sz w:val="20"/>
          <w:szCs w:val="20"/>
        </w:rPr>
      </w:pPr>
    </w:p>
    <w:p w:rsidR="00C96881" w:rsidRDefault="00C96881" w:rsidP="00C96881">
      <w:pPr>
        <w:pStyle w:val="NormalWeb"/>
        <w:rPr>
          <w:rFonts w:ascii="Arial" w:hAnsi="Arial" w:cs="Arial"/>
          <w:color w:val="000000"/>
          <w:sz w:val="20"/>
          <w:szCs w:val="20"/>
        </w:rPr>
      </w:pPr>
    </w:p>
    <w:p w:rsidR="00C96881" w:rsidRDefault="00C96881" w:rsidP="00C96881">
      <w:pPr>
        <w:pStyle w:val="NormalWeb"/>
        <w:rPr>
          <w:rFonts w:ascii="Arial" w:hAnsi="Arial" w:cs="Arial"/>
          <w:color w:val="000000"/>
          <w:sz w:val="20"/>
          <w:szCs w:val="20"/>
        </w:rPr>
      </w:pPr>
    </w:p>
    <w:p w:rsidR="00C96881" w:rsidRDefault="00C96881" w:rsidP="00C96881">
      <w:pPr>
        <w:pStyle w:val="NormalWeb"/>
        <w:rPr>
          <w:rFonts w:ascii="Arial" w:hAnsi="Arial" w:cs="Arial"/>
          <w:b/>
          <w:color w:val="000000"/>
          <w:sz w:val="20"/>
          <w:szCs w:val="20"/>
        </w:rPr>
      </w:pPr>
    </w:p>
    <w:p w:rsidR="00C96881" w:rsidRDefault="00C96881" w:rsidP="00C96881">
      <w:pPr>
        <w:rPr>
          <w:rFonts w:ascii="Arial" w:hAnsi="Arial" w:cs="Arial"/>
          <w:bCs/>
          <w:color w:val="000000"/>
          <w:sz w:val="20"/>
          <w:szCs w:val="20"/>
        </w:rPr>
      </w:pPr>
    </w:p>
    <w:p w:rsidR="00C96881" w:rsidRDefault="00C96881" w:rsidP="00C96881">
      <w:pPr>
        <w:pStyle w:val="NormalWeb"/>
        <w:rPr>
          <w:rFonts w:ascii="Arial" w:hAnsi="Arial" w:cs="Arial"/>
          <w:b/>
          <w:bCs/>
          <w:color w:val="000000"/>
          <w:sz w:val="20"/>
          <w:szCs w:val="20"/>
        </w:rPr>
      </w:pPr>
      <w:r>
        <w:rPr>
          <w:rFonts w:ascii="Arial" w:hAnsi="Arial" w:cs="Arial"/>
          <w:b/>
          <w:bCs/>
          <w:color w:val="000000"/>
          <w:sz w:val="20"/>
          <w:szCs w:val="20"/>
        </w:rPr>
        <w:t>Eligibility Criteria for offering Internet Banking Facility by Regional Rural Banks, 2022</w:t>
      </w:r>
    </w:p>
    <w:p w:rsidR="00C96881" w:rsidRDefault="00C96881" w:rsidP="00C96881">
      <w:pPr>
        <w:pStyle w:val="NormalWeb"/>
        <w:jc w:val="both"/>
        <w:rPr>
          <w:rFonts w:ascii="Arial" w:hAnsi="Arial" w:cs="Arial"/>
          <w:color w:val="000000"/>
          <w:sz w:val="20"/>
          <w:szCs w:val="20"/>
        </w:rPr>
      </w:pPr>
      <w:r>
        <w:rPr>
          <w:rFonts w:ascii="Arial" w:hAnsi="Arial" w:cs="Arial"/>
          <w:color w:val="000000"/>
          <w:sz w:val="20"/>
          <w:szCs w:val="20"/>
        </w:rPr>
        <w:t>RBI/2022-23/135</w:t>
      </w:r>
      <w:r>
        <w:rPr>
          <w:rFonts w:ascii="Arial" w:hAnsi="Arial" w:cs="Arial"/>
          <w:color w:val="000000"/>
          <w:sz w:val="20"/>
          <w:szCs w:val="20"/>
        </w:rPr>
        <w:br/>
        <w:t>DoR.AUT.REC.81/24.01.001/2022-23</w:t>
      </w:r>
    </w:p>
    <w:p w:rsidR="00C96881" w:rsidRDefault="00C96881" w:rsidP="00C96881">
      <w:pPr>
        <w:pStyle w:val="NormalWeb"/>
        <w:jc w:val="right"/>
        <w:rPr>
          <w:rFonts w:ascii="Arial" w:hAnsi="Arial" w:cs="Arial"/>
          <w:color w:val="000000"/>
          <w:sz w:val="20"/>
          <w:szCs w:val="20"/>
        </w:rPr>
      </w:pPr>
      <w:r>
        <w:rPr>
          <w:rFonts w:ascii="Arial" w:hAnsi="Arial" w:cs="Arial"/>
          <w:color w:val="000000"/>
          <w:sz w:val="20"/>
          <w:szCs w:val="20"/>
        </w:rPr>
        <w:t>November 01, 2022</w:t>
      </w:r>
    </w:p>
    <w:p w:rsidR="00C96881" w:rsidRDefault="00C96881" w:rsidP="00C96881">
      <w:pPr>
        <w:pStyle w:val="NormalWeb"/>
        <w:jc w:val="both"/>
        <w:rPr>
          <w:rFonts w:ascii="Arial" w:hAnsi="Arial" w:cs="Arial"/>
          <w:color w:val="000000"/>
          <w:sz w:val="20"/>
          <w:szCs w:val="20"/>
        </w:rPr>
      </w:pPr>
      <w:r>
        <w:rPr>
          <w:rFonts w:ascii="Arial" w:hAnsi="Arial" w:cs="Arial"/>
          <w:color w:val="000000"/>
          <w:sz w:val="20"/>
          <w:szCs w:val="20"/>
        </w:rPr>
        <w:t>Madam / Sir,</w:t>
      </w:r>
    </w:p>
    <w:p w:rsidR="00C96881" w:rsidRDefault="00C96881" w:rsidP="00C96881">
      <w:pPr>
        <w:pStyle w:val="head"/>
        <w:jc w:val="center"/>
        <w:rPr>
          <w:rFonts w:ascii="Arial" w:hAnsi="Arial" w:cs="Arial"/>
          <w:b/>
          <w:bCs/>
          <w:color w:val="000000"/>
          <w:sz w:val="20"/>
          <w:szCs w:val="20"/>
        </w:rPr>
      </w:pPr>
      <w:r>
        <w:rPr>
          <w:rFonts w:ascii="Arial" w:hAnsi="Arial" w:cs="Arial"/>
          <w:b/>
          <w:bCs/>
          <w:color w:val="000000"/>
          <w:sz w:val="20"/>
          <w:szCs w:val="20"/>
        </w:rPr>
        <w:t>Eligibility Criteria for offering Internet Banking Facility by Regional Rural Banks, 2022</w:t>
      </w:r>
    </w:p>
    <w:p w:rsidR="00C96881" w:rsidRDefault="00C96881" w:rsidP="00C96881">
      <w:pPr>
        <w:pStyle w:val="NormalWeb"/>
        <w:jc w:val="both"/>
        <w:rPr>
          <w:rFonts w:ascii="Arial" w:hAnsi="Arial" w:cs="Arial"/>
          <w:color w:val="000000"/>
          <w:sz w:val="20"/>
          <w:szCs w:val="20"/>
        </w:rPr>
      </w:pPr>
      <w:r>
        <w:rPr>
          <w:rFonts w:ascii="Arial" w:hAnsi="Arial" w:cs="Arial"/>
          <w:color w:val="000000"/>
          <w:sz w:val="20"/>
          <w:szCs w:val="20"/>
        </w:rPr>
        <w:t>In exercise of the powers conferred by Sections 35A of the Banking Regulation Act, 1949, the Reserve Bank of India being satisfied that it is necessary and expedient in the public interest so to do, hereby, amends the instructions issued vide </w:t>
      </w:r>
      <w:hyperlink r:id="rId146" w:tgtFrame="_blank" w:history="1">
        <w:r>
          <w:rPr>
            <w:rStyle w:val="Hyperlink"/>
            <w:rFonts w:ascii="Arial" w:hAnsi="Arial" w:cs="Arial"/>
            <w:sz w:val="20"/>
            <w:szCs w:val="20"/>
          </w:rPr>
          <w:t>circular DBR.RRB.BC.No.59/31.01.001/2015-16 dated November 19, 2015</w:t>
        </w:r>
      </w:hyperlink>
      <w:r>
        <w:rPr>
          <w:rFonts w:ascii="Arial" w:hAnsi="Arial" w:cs="Arial"/>
          <w:color w:val="000000"/>
          <w:sz w:val="20"/>
          <w:szCs w:val="20"/>
        </w:rPr>
        <w:t> on ‘Internet Banking Facility for Customers of Regional Rural Banks’.</w:t>
      </w:r>
    </w:p>
    <w:p w:rsidR="00C96881" w:rsidRDefault="00C96881" w:rsidP="00C96881">
      <w:pPr>
        <w:pStyle w:val="NormalWeb"/>
        <w:jc w:val="both"/>
        <w:rPr>
          <w:rFonts w:ascii="Arial" w:hAnsi="Arial" w:cs="Arial"/>
          <w:color w:val="000000"/>
          <w:sz w:val="20"/>
          <w:szCs w:val="20"/>
        </w:rPr>
      </w:pPr>
      <w:r>
        <w:rPr>
          <w:rFonts w:ascii="Arial" w:hAnsi="Arial" w:cs="Arial"/>
          <w:color w:val="000000"/>
          <w:sz w:val="20"/>
          <w:szCs w:val="20"/>
        </w:rPr>
        <w:t>Keeping in view the need to promote the spread of digital banking for customers in rural areas, the eligibility criteria applicable to Regional Rural Banks for offering Internet Banking with transactional facility to their customers have been revised, the details of which are enclosed in the </w:t>
      </w:r>
      <w:hyperlink r:id="rId147" w:anchor="AN" w:history="1">
        <w:r>
          <w:rPr>
            <w:rStyle w:val="Hyperlink"/>
            <w:rFonts w:ascii="Arial" w:hAnsi="Arial" w:cs="Arial"/>
            <w:sz w:val="20"/>
            <w:szCs w:val="20"/>
          </w:rPr>
          <w:t>Annex</w:t>
        </w:r>
      </w:hyperlink>
      <w:r>
        <w:rPr>
          <w:rFonts w:ascii="Arial" w:hAnsi="Arial" w:cs="Arial"/>
          <w:color w:val="000000"/>
          <w:sz w:val="20"/>
          <w:szCs w:val="20"/>
        </w:rPr>
        <w:t>.</w:t>
      </w:r>
    </w:p>
    <w:p w:rsidR="00C96881" w:rsidRDefault="00C96881" w:rsidP="00C96881">
      <w:pPr>
        <w:pStyle w:val="head"/>
        <w:jc w:val="both"/>
        <w:rPr>
          <w:rFonts w:ascii="Arial" w:hAnsi="Arial" w:cs="Arial"/>
          <w:b/>
          <w:bCs/>
          <w:color w:val="000000"/>
          <w:sz w:val="20"/>
          <w:szCs w:val="20"/>
        </w:rPr>
      </w:pPr>
      <w:r>
        <w:rPr>
          <w:rFonts w:ascii="Arial" w:hAnsi="Arial" w:cs="Arial"/>
          <w:b/>
          <w:bCs/>
          <w:color w:val="000000"/>
          <w:sz w:val="20"/>
          <w:szCs w:val="20"/>
        </w:rPr>
        <w:t>2. Commencement</w:t>
      </w:r>
    </w:p>
    <w:p w:rsidR="00C96881" w:rsidRDefault="00C96881" w:rsidP="00C96881">
      <w:pPr>
        <w:pStyle w:val="NormalWeb"/>
        <w:jc w:val="both"/>
        <w:rPr>
          <w:rFonts w:ascii="Arial" w:hAnsi="Arial" w:cs="Arial"/>
          <w:color w:val="000000"/>
          <w:sz w:val="20"/>
          <w:szCs w:val="20"/>
        </w:rPr>
      </w:pPr>
      <w:r>
        <w:rPr>
          <w:rFonts w:ascii="Arial" w:hAnsi="Arial" w:cs="Arial"/>
          <w:color w:val="000000"/>
          <w:sz w:val="20"/>
          <w:szCs w:val="20"/>
        </w:rPr>
        <w:t>The circular comes into force from November 01, 2022.</w:t>
      </w:r>
    </w:p>
    <w:p w:rsidR="00C96881" w:rsidRDefault="00C96881" w:rsidP="00C96881">
      <w:pPr>
        <w:pStyle w:val="head"/>
        <w:jc w:val="both"/>
        <w:rPr>
          <w:rFonts w:ascii="Arial" w:hAnsi="Arial" w:cs="Arial"/>
          <w:b/>
          <w:bCs/>
          <w:color w:val="000000"/>
          <w:sz w:val="20"/>
          <w:szCs w:val="20"/>
        </w:rPr>
      </w:pPr>
      <w:r>
        <w:rPr>
          <w:rFonts w:ascii="Arial" w:hAnsi="Arial" w:cs="Arial"/>
          <w:b/>
          <w:bCs/>
          <w:color w:val="000000"/>
          <w:sz w:val="20"/>
          <w:szCs w:val="20"/>
        </w:rPr>
        <w:t>3. Applicability</w:t>
      </w:r>
    </w:p>
    <w:p w:rsidR="00C96881" w:rsidRDefault="00C96881" w:rsidP="00C96881">
      <w:pPr>
        <w:pStyle w:val="NormalWeb"/>
        <w:jc w:val="both"/>
        <w:rPr>
          <w:rFonts w:ascii="Arial" w:hAnsi="Arial" w:cs="Arial"/>
          <w:color w:val="000000"/>
          <w:sz w:val="20"/>
          <w:szCs w:val="20"/>
        </w:rPr>
      </w:pPr>
      <w:r>
        <w:rPr>
          <w:rFonts w:ascii="Arial" w:hAnsi="Arial" w:cs="Arial"/>
          <w:color w:val="000000"/>
          <w:sz w:val="20"/>
          <w:szCs w:val="20"/>
        </w:rPr>
        <w:t>This circular is applicable to all Regional Rural Banks (RRBs).</w:t>
      </w:r>
    </w:p>
    <w:p w:rsidR="00C96881" w:rsidRDefault="00C96881" w:rsidP="00C96881">
      <w:pPr>
        <w:pStyle w:val="NormalWeb"/>
        <w:rPr>
          <w:rFonts w:ascii="Arial" w:hAnsi="Arial" w:cs="Arial"/>
          <w:color w:val="000000"/>
          <w:sz w:val="20"/>
          <w:szCs w:val="20"/>
        </w:rPr>
      </w:pPr>
      <w:r>
        <w:rPr>
          <w:rFonts w:ascii="Arial" w:hAnsi="Arial" w:cs="Arial"/>
          <w:color w:val="000000"/>
          <w:sz w:val="20"/>
          <w:szCs w:val="20"/>
        </w:rPr>
        <w:t xml:space="preserve">(Prakash </w:t>
      </w:r>
      <w:proofErr w:type="spellStart"/>
      <w:r>
        <w:rPr>
          <w:rFonts w:ascii="Arial" w:hAnsi="Arial" w:cs="Arial"/>
          <w:color w:val="000000"/>
          <w:sz w:val="20"/>
          <w:szCs w:val="20"/>
        </w:rPr>
        <w:t>Baliarsingh</w:t>
      </w:r>
      <w:proofErr w:type="spellEnd"/>
      <w:r>
        <w:rPr>
          <w:rFonts w:ascii="Arial" w:hAnsi="Arial" w:cs="Arial"/>
          <w:color w:val="000000"/>
          <w:sz w:val="20"/>
          <w:szCs w:val="20"/>
        </w:rPr>
        <w:t>)</w:t>
      </w:r>
      <w:r>
        <w:rPr>
          <w:rFonts w:ascii="Arial" w:hAnsi="Arial" w:cs="Arial"/>
          <w:color w:val="000000"/>
          <w:sz w:val="20"/>
          <w:szCs w:val="20"/>
        </w:rPr>
        <w:br/>
        <w:t>Chief General Manager</w:t>
      </w:r>
    </w:p>
    <w:p w:rsidR="00C96881" w:rsidRDefault="00C96881" w:rsidP="00C96881">
      <w:pPr>
        <w:pStyle w:val="NormalWeb"/>
        <w:rPr>
          <w:rFonts w:ascii="Arial" w:hAnsi="Arial" w:cs="Arial"/>
          <w:b/>
          <w:bCs/>
          <w:color w:val="000000"/>
          <w:sz w:val="20"/>
          <w:szCs w:val="20"/>
        </w:rPr>
      </w:pPr>
    </w:p>
    <w:p w:rsidR="00C96881" w:rsidRDefault="00C96881" w:rsidP="00C96881">
      <w:pPr>
        <w:pStyle w:val="NormalWeb"/>
        <w:rPr>
          <w:rFonts w:ascii="Arial" w:hAnsi="Arial" w:cs="Arial"/>
          <w:b/>
          <w:bCs/>
          <w:color w:val="000000"/>
          <w:sz w:val="20"/>
          <w:szCs w:val="20"/>
        </w:rPr>
      </w:pPr>
    </w:p>
    <w:p w:rsidR="00C96881" w:rsidRDefault="00C96881" w:rsidP="00C96881">
      <w:pPr>
        <w:pStyle w:val="NormalWeb"/>
        <w:rPr>
          <w:rFonts w:ascii="Arial" w:hAnsi="Arial" w:cs="Arial"/>
          <w:b/>
          <w:bCs/>
          <w:color w:val="000000"/>
          <w:sz w:val="20"/>
          <w:szCs w:val="20"/>
        </w:rPr>
      </w:pPr>
    </w:p>
    <w:p w:rsidR="00C96881" w:rsidRDefault="00C96881" w:rsidP="00C96881">
      <w:r>
        <w:t>More details can be referred to in the below link.</w:t>
      </w:r>
    </w:p>
    <w:p w:rsidR="00C96881" w:rsidRDefault="00C96881" w:rsidP="00C96881">
      <w:pPr>
        <w:pStyle w:val="NormalWeb"/>
        <w:rPr>
          <w:rFonts w:ascii="Arial" w:hAnsi="Arial" w:cs="Arial"/>
          <w:bCs/>
          <w:color w:val="000000"/>
          <w:sz w:val="20"/>
          <w:szCs w:val="20"/>
        </w:rPr>
      </w:pPr>
      <w:r>
        <w:rPr>
          <w:rFonts w:ascii="Arial" w:hAnsi="Arial" w:cs="Arial"/>
          <w:bCs/>
          <w:color w:val="000000"/>
          <w:sz w:val="20"/>
          <w:szCs w:val="20"/>
        </w:rPr>
        <w:t>Reference Link:</w:t>
      </w:r>
      <w:r>
        <w:rPr>
          <w:rFonts w:ascii="Arial" w:hAnsi="Arial" w:cs="Arial"/>
          <w:b/>
          <w:bCs/>
          <w:color w:val="000000"/>
          <w:sz w:val="20"/>
          <w:szCs w:val="20"/>
        </w:rPr>
        <w:t xml:space="preserve"> </w:t>
      </w:r>
      <w:hyperlink r:id="rId148" w:history="1">
        <w:r w:rsidRPr="00996689">
          <w:rPr>
            <w:rStyle w:val="Hyperlink"/>
            <w:rFonts w:ascii="Arial" w:hAnsi="Arial" w:cs="Arial"/>
            <w:bCs/>
            <w:sz w:val="20"/>
            <w:szCs w:val="20"/>
          </w:rPr>
          <w:t>https://www.rbi.org.in/scripts/FS_Notification.aspx?Id=12407&amp;fn=2&amp;Mode=0</w:t>
        </w:r>
      </w:hyperlink>
    </w:p>
    <w:p w:rsidR="00C96881" w:rsidRPr="00ED4725" w:rsidRDefault="00C96881" w:rsidP="00C96881">
      <w:pPr>
        <w:pStyle w:val="NormalWeb"/>
        <w:rPr>
          <w:rFonts w:ascii="Arial" w:hAnsi="Arial" w:cs="Arial"/>
          <w:bCs/>
          <w:color w:val="000000"/>
          <w:sz w:val="20"/>
          <w:szCs w:val="20"/>
        </w:rPr>
      </w:pPr>
    </w:p>
    <w:p w:rsidR="00C96881" w:rsidRDefault="00C96881" w:rsidP="00C96881">
      <w:pPr>
        <w:pStyle w:val="NormalWeb"/>
        <w:rPr>
          <w:rFonts w:ascii="Arial" w:hAnsi="Arial" w:cs="Arial"/>
          <w:b/>
          <w:bCs/>
          <w:color w:val="000000"/>
          <w:sz w:val="20"/>
          <w:szCs w:val="20"/>
        </w:rPr>
      </w:pPr>
    </w:p>
    <w:p w:rsidR="00C96881" w:rsidRDefault="00C96881" w:rsidP="00C96881">
      <w:pPr>
        <w:pStyle w:val="NormalWeb"/>
        <w:rPr>
          <w:rFonts w:ascii="Arial" w:hAnsi="Arial" w:cs="Arial"/>
          <w:b/>
          <w:bCs/>
          <w:color w:val="000000"/>
          <w:sz w:val="20"/>
          <w:szCs w:val="20"/>
        </w:rPr>
      </w:pPr>
    </w:p>
    <w:p w:rsidR="00C96881" w:rsidRDefault="00C96881" w:rsidP="00C96881">
      <w:pPr>
        <w:pStyle w:val="NormalWeb"/>
        <w:rPr>
          <w:rFonts w:ascii="Arial" w:hAnsi="Arial" w:cs="Arial"/>
          <w:b/>
          <w:bCs/>
          <w:color w:val="000000"/>
          <w:sz w:val="20"/>
          <w:szCs w:val="20"/>
        </w:rPr>
      </w:pPr>
    </w:p>
    <w:p w:rsidR="00C96881" w:rsidRDefault="00C96881" w:rsidP="00C96881">
      <w:pPr>
        <w:pStyle w:val="NormalWeb"/>
        <w:rPr>
          <w:rFonts w:ascii="Arial" w:hAnsi="Arial" w:cs="Arial"/>
          <w:b/>
          <w:bCs/>
          <w:color w:val="000000"/>
          <w:sz w:val="20"/>
          <w:szCs w:val="20"/>
        </w:rPr>
      </w:pPr>
    </w:p>
    <w:p w:rsidR="00C96881" w:rsidRDefault="00C96881" w:rsidP="00C96881">
      <w:pPr>
        <w:pStyle w:val="NormalWeb"/>
        <w:rPr>
          <w:rFonts w:ascii="Arial" w:hAnsi="Arial" w:cs="Arial"/>
          <w:b/>
          <w:bCs/>
          <w:color w:val="000000"/>
          <w:sz w:val="20"/>
          <w:szCs w:val="20"/>
        </w:rPr>
      </w:pPr>
    </w:p>
    <w:p w:rsidR="00C96881" w:rsidRDefault="00C96881" w:rsidP="0001090D">
      <w:pPr>
        <w:rPr>
          <w:rFonts w:ascii="Arial" w:hAnsi="Arial" w:cs="Arial"/>
          <w:bCs/>
          <w:color w:val="000000"/>
          <w:sz w:val="20"/>
          <w:szCs w:val="20"/>
        </w:rPr>
      </w:pPr>
    </w:p>
    <w:p w:rsidR="00C96881" w:rsidRDefault="00C96881" w:rsidP="00C96881">
      <w:pPr>
        <w:pStyle w:val="NormalWeb"/>
        <w:rPr>
          <w:rFonts w:ascii="Arial" w:hAnsi="Arial" w:cs="Arial"/>
          <w:b/>
          <w:color w:val="000000"/>
          <w:sz w:val="20"/>
          <w:szCs w:val="20"/>
        </w:rPr>
      </w:pPr>
      <w:r w:rsidRPr="0085415B">
        <w:rPr>
          <w:rFonts w:ascii="Arial" w:hAnsi="Arial" w:cs="Arial"/>
          <w:b/>
          <w:color w:val="000000"/>
          <w:sz w:val="20"/>
          <w:szCs w:val="20"/>
        </w:rPr>
        <w:t>Agency Commission for Direct Tax collection under TIN 2.0 regime</w:t>
      </w:r>
    </w:p>
    <w:p w:rsidR="00C96881" w:rsidRDefault="00C96881" w:rsidP="00C96881">
      <w:pPr>
        <w:pStyle w:val="NormalWeb"/>
        <w:jc w:val="both"/>
        <w:rPr>
          <w:rFonts w:ascii="Arial" w:hAnsi="Arial" w:cs="Arial"/>
          <w:color w:val="000000"/>
          <w:sz w:val="20"/>
          <w:szCs w:val="20"/>
        </w:rPr>
      </w:pPr>
      <w:r>
        <w:rPr>
          <w:rFonts w:ascii="Arial" w:hAnsi="Arial" w:cs="Arial"/>
          <w:color w:val="000000"/>
          <w:sz w:val="20"/>
          <w:szCs w:val="20"/>
        </w:rPr>
        <w:t>RBI/2022-23/136</w:t>
      </w:r>
      <w:r>
        <w:rPr>
          <w:rFonts w:ascii="Arial" w:hAnsi="Arial" w:cs="Arial"/>
          <w:color w:val="000000"/>
          <w:sz w:val="20"/>
          <w:szCs w:val="20"/>
        </w:rPr>
        <w:br/>
        <w:t>CO.DGBA.GBD.No.S957/43-33-005/2022-2023</w:t>
      </w:r>
    </w:p>
    <w:p w:rsidR="00C96881" w:rsidRDefault="00C96881" w:rsidP="00C96881">
      <w:pPr>
        <w:pStyle w:val="NormalWeb"/>
        <w:jc w:val="right"/>
        <w:rPr>
          <w:rFonts w:ascii="Arial" w:hAnsi="Arial" w:cs="Arial"/>
          <w:color w:val="000000"/>
          <w:sz w:val="20"/>
          <w:szCs w:val="20"/>
        </w:rPr>
      </w:pPr>
      <w:r>
        <w:rPr>
          <w:rFonts w:ascii="Arial" w:hAnsi="Arial" w:cs="Arial"/>
          <w:color w:val="000000"/>
          <w:sz w:val="20"/>
          <w:szCs w:val="20"/>
        </w:rPr>
        <w:t>November 14, 2022</w:t>
      </w:r>
    </w:p>
    <w:p w:rsidR="00C96881" w:rsidRDefault="00C96881" w:rsidP="00C96881">
      <w:pPr>
        <w:pStyle w:val="NormalWeb"/>
        <w:jc w:val="both"/>
        <w:rPr>
          <w:rFonts w:ascii="Arial" w:hAnsi="Arial" w:cs="Arial"/>
          <w:color w:val="000000"/>
          <w:sz w:val="20"/>
          <w:szCs w:val="20"/>
        </w:rPr>
      </w:pPr>
      <w:r>
        <w:rPr>
          <w:rFonts w:ascii="Arial" w:hAnsi="Arial" w:cs="Arial"/>
          <w:color w:val="000000"/>
          <w:sz w:val="20"/>
          <w:szCs w:val="20"/>
        </w:rPr>
        <w:t>All Agency banks (authorised to collect direct taxes)</w:t>
      </w:r>
    </w:p>
    <w:p w:rsidR="00C96881" w:rsidRDefault="00C96881" w:rsidP="00C96881">
      <w:pPr>
        <w:pStyle w:val="NormalWeb"/>
        <w:jc w:val="both"/>
        <w:rPr>
          <w:rFonts w:ascii="Arial" w:hAnsi="Arial" w:cs="Arial"/>
          <w:color w:val="000000"/>
          <w:sz w:val="20"/>
          <w:szCs w:val="20"/>
        </w:rPr>
      </w:pPr>
      <w:r>
        <w:rPr>
          <w:rFonts w:ascii="Arial" w:hAnsi="Arial" w:cs="Arial"/>
          <w:color w:val="000000"/>
          <w:sz w:val="20"/>
          <w:szCs w:val="20"/>
        </w:rPr>
        <w:t>Madam / Dear Sir</w:t>
      </w:r>
    </w:p>
    <w:p w:rsidR="00C96881" w:rsidRDefault="00C96881" w:rsidP="00C96881">
      <w:pPr>
        <w:pStyle w:val="head"/>
        <w:jc w:val="both"/>
        <w:rPr>
          <w:rFonts w:ascii="Arial" w:hAnsi="Arial" w:cs="Arial"/>
          <w:b/>
          <w:bCs/>
          <w:color w:val="000000"/>
          <w:sz w:val="20"/>
          <w:szCs w:val="20"/>
        </w:rPr>
      </w:pPr>
      <w:r>
        <w:rPr>
          <w:rFonts w:ascii="Arial" w:hAnsi="Arial" w:cs="Arial"/>
          <w:b/>
          <w:bCs/>
          <w:color w:val="000000"/>
          <w:sz w:val="20"/>
          <w:szCs w:val="20"/>
        </w:rPr>
        <w:t>Agency Commission for Direct Tax collection under TIN 2.0 regime</w:t>
      </w:r>
    </w:p>
    <w:p w:rsidR="00C96881" w:rsidRDefault="00C96881" w:rsidP="00C96881">
      <w:pPr>
        <w:pStyle w:val="NormalWeb"/>
        <w:jc w:val="both"/>
        <w:rPr>
          <w:rFonts w:ascii="Arial" w:hAnsi="Arial" w:cs="Arial"/>
          <w:color w:val="000000"/>
          <w:sz w:val="20"/>
          <w:szCs w:val="20"/>
        </w:rPr>
      </w:pPr>
      <w:r>
        <w:rPr>
          <w:rFonts w:ascii="Arial" w:hAnsi="Arial" w:cs="Arial"/>
          <w:color w:val="000000"/>
          <w:sz w:val="20"/>
          <w:szCs w:val="20"/>
        </w:rPr>
        <w:t>Please refer to Para 21 of our </w:t>
      </w:r>
      <w:hyperlink r:id="rId149" w:tgtFrame="_blank" w:history="1">
        <w:r>
          <w:rPr>
            <w:rStyle w:val="Hyperlink"/>
            <w:rFonts w:ascii="Arial" w:hAnsi="Arial" w:cs="Arial"/>
            <w:sz w:val="20"/>
            <w:szCs w:val="20"/>
          </w:rPr>
          <w:t>Master Circular on Conduct of Government Business by Agency Banks - Payment of Agency Commission dated April 1, 2022</w:t>
        </w:r>
      </w:hyperlink>
      <w:r>
        <w:rPr>
          <w:rFonts w:ascii="Arial" w:hAnsi="Arial" w:cs="Arial"/>
          <w:color w:val="000000"/>
          <w:sz w:val="20"/>
          <w:szCs w:val="20"/>
        </w:rPr>
        <w:t> related to claiming of agency commission.</w:t>
      </w:r>
    </w:p>
    <w:p w:rsidR="00C96881" w:rsidRDefault="00C96881" w:rsidP="00C96881">
      <w:pPr>
        <w:pStyle w:val="NormalWeb"/>
        <w:jc w:val="both"/>
        <w:rPr>
          <w:rFonts w:ascii="Arial" w:hAnsi="Arial" w:cs="Arial"/>
          <w:color w:val="000000"/>
          <w:sz w:val="20"/>
          <w:szCs w:val="20"/>
        </w:rPr>
      </w:pPr>
      <w:r>
        <w:rPr>
          <w:rFonts w:ascii="Arial" w:hAnsi="Arial" w:cs="Arial"/>
          <w:color w:val="000000"/>
          <w:sz w:val="20"/>
          <w:szCs w:val="20"/>
        </w:rPr>
        <w:t>2. After implementation of TIN 2.0 regime for collection of direct taxes, it has been decided to modify paragraph 21 of the captioned Master Circular. The modified paragraph 21 will read as follows:</w:t>
      </w:r>
    </w:p>
    <w:p w:rsidR="00C96881" w:rsidRDefault="00C96881" w:rsidP="00C96881">
      <w:pPr>
        <w:pStyle w:val="NormalWeb"/>
        <w:jc w:val="both"/>
        <w:rPr>
          <w:rFonts w:ascii="Arial" w:hAnsi="Arial" w:cs="Arial"/>
          <w:color w:val="000000"/>
          <w:sz w:val="20"/>
          <w:szCs w:val="20"/>
        </w:rPr>
      </w:pPr>
      <w:r>
        <w:rPr>
          <w:rFonts w:ascii="Arial" w:hAnsi="Arial" w:cs="Arial"/>
          <w:color w:val="000000"/>
          <w:sz w:val="20"/>
          <w:szCs w:val="20"/>
        </w:rPr>
        <w:t>“Agency banks are required to submit their claims for agency commission in the prescribed format to CAS Nagpur in respect of Central government transactions and the respective Regional Office of Reserve Bank of India for State government transactions. However, agency commission claims with respect to GST receipt transactions </w:t>
      </w:r>
      <w:r>
        <w:rPr>
          <w:rFonts w:ascii="Arial" w:hAnsi="Arial" w:cs="Arial"/>
          <w:color w:val="000000"/>
          <w:sz w:val="20"/>
          <w:szCs w:val="20"/>
          <w:u w:val="single"/>
        </w:rPr>
        <w:t>and transactions related to direct tax collection under TIN 2.0 regime</w:t>
      </w:r>
      <w:r>
        <w:rPr>
          <w:rFonts w:ascii="Arial" w:hAnsi="Arial" w:cs="Arial"/>
          <w:color w:val="000000"/>
          <w:sz w:val="20"/>
          <w:szCs w:val="20"/>
        </w:rPr>
        <w:t> will be settled at Mumbai Regional Office of Reserve Bank of India only and accordingly all agency banks, authorized to collect GST </w:t>
      </w:r>
      <w:r>
        <w:rPr>
          <w:rFonts w:ascii="Arial" w:hAnsi="Arial" w:cs="Arial"/>
          <w:color w:val="000000"/>
          <w:sz w:val="20"/>
          <w:szCs w:val="20"/>
          <w:u w:val="single"/>
        </w:rPr>
        <w:t>and direct tax collection under TIN 2.0</w:t>
      </w:r>
      <w:r>
        <w:rPr>
          <w:rFonts w:ascii="Arial" w:hAnsi="Arial" w:cs="Arial"/>
          <w:color w:val="000000"/>
          <w:sz w:val="20"/>
          <w:szCs w:val="20"/>
        </w:rPr>
        <w:t>, are advised to submit their agency commission claims pertaining to </w:t>
      </w:r>
      <w:r>
        <w:rPr>
          <w:rFonts w:ascii="Arial" w:hAnsi="Arial" w:cs="Arial"/>
          <w:color w:val="000000"/>
          <w:sz w:val="20"/>
          <w:szCs w:val="20"/>
          <w:u w:val="single"/>
        </w:rPr>
        <w:t>the respective</w:t>
      </w:r>
      <w:r>
        <w:rPr>
          <w:rFonts w:ascii="Arial" w:hAnsi="Arial" w:cs="Arial"/>
          <w:color w:val="000000"/>
          <w:sz w:val="20"/>
          <w:szCs w:val="20"/>
        </w:rPr>
        <w:t> receipt transactions at Mumbai Regional Office only. </w:t>
      </w:r>
      <w:r>
        <w:rPr>
          <w:rFonts w:ascii="Arial" w:hAnsi="Arial" w:cs="Arial"/>
          <w:color w:val="000000"/>
          <w:sz w:val="20"/>
          <w:szCs w:val="20"/>
          <w:u w:val="single"/>
        </w:rPr>
        <w:t>The agency commission for transactions related to direct tax under OLTAS will be continued to be settled at CAS, Nagpur, RBI.</w:t>
      </w:r>
      <w:r>
        <w:rPr>
          <w:rFonts w:ascii="Arial" w:hAnsi="Arial" w:cs="Arial"/>
          <w:color w:val="000000"/>
          <w:sz w:val="20"/>
          <w:szCs w:val="20"/>
        </w:rPr>
        <w:t> The formats for claiming agency commission for all agency banks and separate and distinctive set of certificates to be signed by the branch officials and Chartered Accountants or Cost Accountants are given in Annex 2, Annex 2A and Annex 2B respectively. These certificates would be in addition to the usual Certificate from ED / CGM (in charge of government business) to the effect that there are no pension arrears to be credited / delays in crediting regular pension / arrears thereof.”</w:t>
      </w:r>
    </w:p>
    <w:p w:rsidR="00C96881" w:rsidRDefault="00C96881" w:rsidP="00C96881">
      <w:pPr>
        <w:pStyle w:val="NormalWeb"/>
        <w:jc w:val="both"/>
        <w:rPr>
          <w:rFonts w:ascii="Arial" w:hAnsi="Arial" w:cs="Arial"/>
          <w:color w:val="000000"/>
          <w:sz w:val="20"/>
          <w:szCs w:val="20"/>
        </w:rPr>
      </w:pPr>
      <w:r>
        <w:rPr>
          <w:rFonts w:ascii="Arial" w:hAnsi="Arial" w:cs="Arial"/>
          <w:color w:val="000000"/>
          <w:sz w:val="20"/>
          <w:szCs w:val="20"/>
        </w:rPr>
        <w:t>3. All other instructions of the said Master Circular remain unchanged.</w:t>
      </w:r>
    </w:p>
    <w:p w:rsidR="00C96881" w:rsidRDefault="00C96881" w:rsidP="00C96881">
      <w:pPr>
        <w:pStyle w:val="NormalWeb"/>
        <w:jc w:val="both"/>
        <w:rPr>
          <w:rFonts w:ascii="Arial" w:hAnsi="Arial" w:cs="Arial"/>
          <w:color w:val="000000"/>
          <w:sz w:val="20"/>
          <w:szCs w:val="20"/>
        </w:rPr>
      </w:pPr>
      <w:r>
        <w:rPr>
          <w:rFonts w:ascii="Arial" w:hAnsi="Arial" w:cs="Arial"/>
          <w:color w:val="000000"/>
          <w:sz w:val="20"/>
          <w:szCs w:val="20"/>
        </w:rPr>
        <w:t>Yours faithfully</w:t>
      </w:r>
    </w:p>
    <w:p w:rsidR="00C96881" w:rsidRDefault="00C96881" w:rsidP="00C96881">
      <w:pPr>
        <w:pStyle w:val="NormalWeb"/>
        <w:rPr>
          <w:rFonts w:ascii="Arial" w:hAnsi="Arial" w:cs="Arial"/>
          <w:color w:val="000000"/>
          <w:sz w:val="20"/>
          <w:szCs w:val="20"/>
        </w:rPr>
      </w:pPr>
      <w:r>
        <w:rPr>
          <w:rFonts w:ascii="Arial" w:hAnsi="Arial" w:cs="Arial"/>
          <w:color w:val="000000"/>
          <w:sz w:val="20"/>
          <w:szCs w:val="20"/>
        </w:rPr>
        <w:t>(</w:t>
      </w:r>
      <w:proofErr w:type="spellStart"/>
      <w:r>
        <w:rPr>
          <w:rFonts w:ascii="Arial" w:hAnsi="Arial" w:cs="Arial"/>
          <w:color w:val="000000"/>
          <w:sz w:val="20"/>
          <w:szCs w:val="20"/>
        </w:rPr>
        <w:t>Indranil</w:t>
      </w:r>
      <w:proofErr w:type="spellEnd"/>
      <w:r>
        <w:rPr>
          <w:rFonts w:ascii="Arial" w:hAnsi="Arial" w:cs="Arial"/>
          <w:color w:val="000000"/>
          <w:sz w:val="20"/>
          <w:szCs w:val="20"/>
        </w:rPr>
        <w:t xml:space="preserve"> Chakraborty)</w:t>
      </w:r>
      <w:r>
        <w:rPr>
          <w:rFonts w:ascii="Arial" w:hAnsi="Arial" w:cs="Arial"/>
          <w:color w:val="000000"/>
          <w:sz w:val="20"/>
          <w:szCs w:val="20"/>
        </w:rPr>
        <w:br/>
        <w:t>Chief General Manager</w:t>
      </w:r>
    </w:p>
    <w:p w:rsidR="00C96881" w:rsidRDefault="00C96881" w:rsidP="00C96881">
      <w:pPr>
        <w:pStyle w:val="NormalWeb"/>
        <w:rPr>
          <w:rFonts w:ascii="Arial" w:hAnsi="Arial" w:cs="Arial"/>
          <w:color w:val="000000"/>
          <w:sz w:val="20"/>
          <w:szCs w:val="20"/>
        </w:rPr>
      </w:pPr>
    </w:p>
    <w:p w:rsidR="00C96881" w:rsidRDefault="00C96881" w:rsidP="00C96881"/>
    <w:p w:rsidR="00C96881" w:rsidRDefault="00C96881" w:rsidP="00C96881">
      <w:r>
        <w:t>More details can be referred to in the below link.</w:t>
      </w:r>
    </w:p>
    <w:p w:rsidR="00C96881" w:rsidRDefault="00C96881" w:rsidP="00C96881">
      <w:pPr>
        <w:pStyle w:val="NormalWeb"/>
        <w:rPr>
          <w:rFonts w:ascii="Arial" w:hAnsi="Arial" w:cs="Arial"/>
          <w:bCs/>
          <w:color w:val="000000"/>
          <w:sz w:val="20"/>
          <w:szCs w:val="20"/>
        </w:rPr>
      </w:pPr>
      <w:r>
        <w:rPr>
          <w:rFonts w:ascii="Arial" w:hAnsi="Arial" w:cs="Arial"/>
          <w:bCs/>
          <w:color w:val="000000"/>
          <w:sz w:val="20"/>
          <w:szCs w:val="20"/>
        </w:rPr>
        <w:t xml:space="preserve">Reference Link: </w:t>
      </w:r>
      <w:hyperlink r:id="rId150" w:history="1">
        <w:r w:rsidRPr="006865D6">
          <w:rPr>
            <w:rStyle w:val="Hyperlink"/>
            <w:rFonts w:ascii="Arial" w:hAnsi="Arial" w:cs="Arial"/>
            <w:bCs/>
            <w:sz w:val="20"/>
            <w:szCs w:val="20"/>
          </w:rPr>
          <w:t>https://www.rbi.org.in/Scripts/NotificationUser.aspx?Id=12408&amp;Mode=0</w:t>
        </w:r>
      </w:hyperlink>
    </w:p>
    <w:p w:rsidR="00C96881" w:rsidRDefault="00C96881" w:rsidP="00C96881">
      <w:pPr>
        <w:pStyle w:val="NormalWeb"/>
        <w:rPr>
          <w:rFonts w:ascii="Arial" w:hAnsi="Arial" w:cs="Arial"/>
          <w:bCs/>
          <w:color w:val="000000"/>
          <w:sz w:val="20"/>
          <w:szCs w:val="20"/>
        </w:rPr>
      </w:pPr>
    </w:p>
    <w:p w:rsidR="00C96881" w:rsidRDefault="00C96881" w:rsidP="00C96881">
      <w:pPr>
        <w:pStyle w:val="NormalWeb"/>
        <w:rPr>
          <w:rFonts w:ascii="Arial" w:hAnsi="Arial" w:cs="Arial"/>
          <w:bCs/>
          <w:color w:val="000000"/>
          <w:sz w:val="20"/>
          <w:szCs w:val="20"/>
        </w:rPr>
      </w:pPr>
    </w:p>
    <w:p w:rsidR="00C96881" w:rsidRDefault="00C96881" w:rsidP="00C96881">
      <w:pPr>
        <w:pStyle w:val="NormalWeb"/>
        <w:rPr>
          <w:rFonts w:ascii="Arial" w:hAnsi="Arial" w:cs="Arial"/>
          <w:bCs/>
          <w:color w:val="000000"/>
          <w:sz w:val="20"/>
          <w:szCs w:val="20"/>
        </w:rPr>
      </w:pPr>
    </w:p>
    <w:p w:rsidR="00C96881" w:rsidRDefault="00C96881" w:rsidP="0001090D">
      <w:pPr>
        <w:rPr>
          <w:rFonts w:ascii="Arial" w:hAnsi="Arial" w:cs="Arial"/>
          <w:bCs/>
          <w:color w:val="000000"/>
          <w:sz w:val="20"/>
          <w:szCs w:val="20"/>
        </w:rPr>
      </w:pPr>
    </w:p>
    <w:p w:rsidR="00C96881" w:rsidRDefault="00C96881" w:rsidP="00C96881">
      <w:pPr>
        <w:pStyle w:val="NormalWeb"/>
        <w:rPr>
          <w:rFonts w:ascii="Arial" w:hAnsi="Arial" w:cs="Arial"/>
          <w:b/>
          <w:bCs/>
          <w:color w:val="000000"/>
          <w:sz w:val="20"/>
          <w:szCs w:val="20"/>
        </w:rPr>
      </w:pPr>
      <w:r>
        <w:rPr>
          <w:rFonts w:ascii="Arial" w:hAnsi="Arial" w:cs="Arial"/>
          <w:b/>
          <w:bCs/>
          <w:color w:val="000000"/>
          <w:sz w:val="20"/>
          <w:szCs w:val="20"/>
        </w:rPr>
        <w:t xml:space="preserve">Modified Interest Subvention Scheme for Short Term Loans for Agriculture and Allied Activities availed through </w:t>
      </w:r>
      <w:proofErr w:type="spellStart"/>
      <w:r>
        <w:rPr>
          <w:rFonts w:ascii="Arial" w:hAnsi="Arial" w:cs="Arial"/>
          <w:b/>
          <w:bCs/>
          <w:color w:val="000000"/>
          <w:sz w:val="20"/>
          <w:szCs w:val="20"/>
        </w:rPr>
        <w:t>Kisan</w:t>
      </w:r>
      <w:proofErr w:type="spellEnd"/>
      <w:r>
        <w:rPr>
          <w:rFonts w:ascii="Arial" w:hAnsi="Arial" w:cs="Arial"/>
          <w:b/>
          <w:bCs/>
          <w:color w:val="000000"/>
          <w:sz w:val="20"/>
          <w:szCs w:val="20"/>
        </w:rPr>
        <w:t xml:space="preserve"> Credit Card (KCC) during the financial years 2022-23 and 2023-24</w:t>
      </w:r>
    </w:p>
    <w:p w:rsidR="00C96881" w:rsidRDefault="00C96881" w:rsidP="00C96881">
      <w:pPr>
        <w:pStyle w:val="NormalWeb"/>
        <w:jc w:val="both"/>
        <w:rPr>
          <w:rFonts w:ascii="Arial" w:hAnsi="Arial" w:cs="Arial"/>
          <w:color w:val="000000"/>
          <w:sz w:val="20"/>
          <w:szCs w:val="20"/>
        </w:rPr>
      </w:pPr>
      <w:r>
        <w:rPr>
          <w:rFonts w:ascii="Arial" w:hAnsi="Arial" w:cs="Arial"/>
          <w:color w:val="000000"/>
          <w:sz w:val="20"/>
          <w:szCs w:val="20"/>
        </w:rPr>
        <w:t>RBI/2022-23/139</w:t>
      </w:r>
      <w:r>
        <w:rPr>
          <w:rFonts w:ascii="Arial" w:hAnsi="Arial" w:cs="Arial"/>
          <w:color w:val="000000"/>
          <w:sz w:val="20"/>
          <w:szCs w:val="20"/>
        </w:rPr>
        <w:br/>
        <w:t>FIDD.CO.FSD.BC.No.13/05.02.001/2022-23</w:t>
      </w:r>
    </w:p>
    <w:p w:rsidR="00C96881" w:rsidRDefault="00C96881" w:rsidP="00C96881">
      <w:pPr>
        <w:pStyle w:val="NormalWeb"/>
        <w:jc w:val="right"/>
        <w:rPr>
          <w:rFonts w:ascii="Arial" w:hAnsi="Arial" w:cs="Arial"/>
          <w:color w:val="000000"/>
          <w:sz w:val="20"/>
          <w:szCs w:val="20"/>
        </w:rPr>
      </w:pPr>
      <w:r>
        <w:rPr>
          <w:rFonts w:ascii="Arial" w:hAnsi="Arial" w:cs="Arial"/>
          <w:color w:val="000000"/>
          <w:sz w:val="20"/>
          <w:szCs w:val="20"/>
        </w:rPr>
        <w:t>November 23, 2022</w:t>
      </w:r>
    </w:p>
    <w:p w:rsidR="00C96881" w:rsidRDefault="00C96881" w:rsidP="00C96881">
      <w:pPr>
        <w:pStyle w:val="NormalWeb"/>
        <w:rPr>
          <w:rFonts w:ascii="Arial" w:hAnsi="Arial" w:cs="Arial"/>
          <w:color w:val="000000"/>
          <w:sz w:val="20"/>
          <w:szCs w:val="20"/>
        </w:rPr>
      </w:pPr>
      <w:r>
        <w:rPr>
          <w:rFonts w:ascii="Arial" w:hAnsi="Arial" w:cs="Arial"/>
          <w:color w:val="000000"/>
          <w:sz w:val="20"/>
          <w:szCs w:val="20"/>
        </w:rPr>
        <w:t>The Chairman/Managing Director/Chief Executive Officer</w:t>
      </w:r>
      <w:r>
        <w:rPr>
          <w:rFonts w:ascii="Arial" w:hAnsi="Arial" w:cs="Arial"/>
          <w:color w:val="000000"/>
          <w:sz w:val="20"/>
          <w:szCs w:val="20"/>
        </w:rPr>
        <w:br/>
        <w:t>All Public Sector Banks, Private Sector Banks and</w:t>
      </w:r>
      <w:r>
        <w:rPr>
          <w:rFonts w:ascii="Arial" w:hAnsi="Arial" w:cs="Arial"/>
          <w:color w:val="000000"/>
          <w:sz w:val="20"/>
          <w:szCs w:val="20"/>
        </w:rPr>
        <w:br/>
        <w:t>Small Finance Banks</w:t>
      </w:r>
    </w:p>
    <w:p w:rsidR="00C96881" w:rsidRDefault="00C96881" w:rsidP="00C96881">
      <w:pPr>
        <w:pStyle w:val="NormalWeb"/>
        <w:jc w:val="both"/>
        <w:rPr>
          <w:rFonts w:ascii="Arial" w:hAnsi="Arial" w:cs="Arial"/>
          <w:color w:val="000000"/>
          <w:sz w:val="20"/>
          <w:szCs w:val="20"/>
        </w:rPr>
      </w:pPr>
      <w:r>
        <w:rPr>
          <w:rFonts w:ascii="Arial" w:hAnsi="Arial" w:cs="Arial"/>
          <w:color w:val="000000"/>
          <w:sz w:val="20"/>
          <w:szCs w:val="20"/>
        </w:rPr>
        <w:t>Madam/Dear Sir,</w:t>
      </w:r>
    </w:p>
    <w:p w:rsidR="00C96881" w:rsidRDefault="00C96881" w:rsidP="00C96881">
      <w:pPr>
        <w:pStyle w:val="head"/>
        <w:jc w:val="both"/>
        <w:rPr>
          <w:rFonts w:ascii="Arial" w:hAnsi="Arial" w:cs="Arial"/>
          <w:b/>
          <w:bCs/>
          <w:color w:val="000000"/>
          <w:sz w:val="20"/>
          <w:szCs w:val="20"/>
        </w:rPr>
      </w:pPr>
      <w:r>
        <w:rPr>
          <w:rFonts w:ascii="Arial" w:hAnsi="Arial" w:cs="Arial"/>
          <w:b/>
          <w:bCs/>
          <w:color w:val="000000"/>
          <w:sz w:val="20"/>
          <w:szCs w:val="20"/>
        </w:rPr>
        <w:t xml:space="preserve">Modified Interest Subvention Scheme for Short Term Loans for Agriculture and Allied Activities availed through </w:t>
      </w:r>
      <w:proofErr w:type="spellStart"/>
      <w:r>
        <w:rPr>
          <w:rFonts w:ascii="Arial" w:hAnsi="Arial" w:cs="Arial"/>
          <w:b/>
          <w:bCs/>
          <w:color w:val="000000"/>
          <w:sz w:val="20"/>
          <w:szCs w:val="20"/>
        </w:rPr>
        <w:t>Kisan</w:t>
      </w:r>
      <w:proofErr w:type="spellEnd"/>
      <w:r>
        <w:rPr>
          <w:rFonts w:ascii="Arial" w:hAnsi="Arial" w:cs="Arial"/>
          <w:b/>
          <w:bCs/>
          <w:color w:val="000000"/>
          <w:sz w:val="20"/>
          <w:szCs w:val="20"/>
        </w:rPr>
        <w:t xml:space="preserve"> Credit Card (KCC) during the financial years 2022-23 and 2023-24</w:t>
      </w:r>
    </w:p>
    <w:p w:rsidR="00C96881" w:rsidRDefault="00C96881" w:rsidP="00C96881">
      <w:pPr>
        <w:pStyle w:val="NormalWeb"/>
        <w:jc w:val="both"/>
        <w:rPr>
          <w:rFonts w:ascii="Arial" w:hAnsi="Arial" w:cs="Arial"/>
          <w:color w:val="000000"/>
          <w:sz w:val="20"/>
          <w:szCs w:val="20"/>
        </w:rPr>
      </w:pPr>
      <w:r>
        <w:rPr>
          <w:rFonts w:ascii="Arial" w:hAnsi="Arial" w:cs="Arial"/>
          <w:color w:val="000000"/>
          <w:sz w:val="20"/>
          <w:szCs w:val="20"/>
        </w:rPr>
        <w:t>Please refer to our </w:t>
      </w:r>
      <w:hyperlink r:id="rId151" w:tgtFrame="_blank" w:history="1">
        <w:r>
          <w:rPr>
            <w:rStyle w:val="Hyperlink"/>
            <w:rFonts w:ascii="Arial" w:hAnsi="Arial" w:cs="Arial"/>
            <w:sz w:val="20"/>
            <w:szCs w:val="20"/>
          </w:rPr>
          <w:t>circular FIDD.CO.FSD.BC.No.3/05.02.001/2022-23 dated April 28, 2022</w:t>
        </w:r>
      </w:hyperlink>
      <w:r>
        <w:rPr>
          <w:rFonts w:ascii="Arial" w:hAnsi="Arial" w:cs="Arial"/>
          <w:color w:val="000000"/>
          <w:sz w:val="20"/>
          <w:szCs w:val="20"/>
        </w:rPr>
        <w:t> conveying the decision of the Government of India for continuation of the Modified Interest Subvention Scheme for short term loans for agriculture and allied activities for the year 2021-22.</w:t>
      </w:r>
    </w:p>
    <w:p w:rsidR="00C96881" w:rsidRDefault="00C96881" w:rsidP="00C96881">
      <w:pPr>
        <w:pStyle w:val="NormalWeb"/>
        <w:jc w:val="both"/>
        <w:rPr>
          <w:rFonts w:ascii="Arial" w:hAnsi="Arial" w:cs="Arial"/>
          <w:color w:val="000000"/>
          <w:sz w:val="20"/>
          <w:szCs w:val="20"/>
        </w:rPr>
      </w:pPr>
      <w:r>
        <w:rPr>
          <w:rFonts w:ascii="Arial" w:hAnsi="Arial" w:cs="Arial"/>
          <w:color w:val="000000"/>
          <w:sz w:val="20"/>
          <w:szCs w:val="20"/>
        </w:rPr>
        <w:t>2. In this regard, it is advised that Government of India has approved the continuation of the Interest Subvention Scheme (ISS) with modification for the financial years 2022-23 and 2023-24 with the following stipulations:</w:t>
      </w:r>
    </w:p>
    <w:p w:rsidR="00C96881" w:rsidRDefault="00C96881" w:rsidP="00C96881">
      <w:pPr>
        <w:pStyle w:val="NormalWeb"/>
        <w:jc w:val="both"/>
        <w:rPr>
          <w:rFonts w:ascii="Arial" w:hAnsi="Arial" w:cs="Arial"/>
          <w:color w:val="000000"/>
          <w:sz w:val="20"/>
          <w:szCs w:val="20"/>
        </w:rPr>
      </w:pPr>
      <w:r>
        <w:rPr>
          <w:rFonts w:ascii="Arial" w:hAnsi="Arial" w:cs="Arial"/>
          <w:color w:val="000000"/>
          <w:sz w:val="20"/>
          <w:szCs w:val="20"/>
        </w:rPr>
        <w:t xml:space="preserve">(i) In order to provide short term crop loans and short term loans for allied activities including animal husbandry, dairy, fisheries, bee keeping etc. </w:t>
      </w:r>
      <w:proofErr w:type="spellStart"/>
      <w:r>
        <w:rPr>
          <w:rFonts w:ascii="Arial" w:hAnsi="Arial" w:cs="Arial"/>
          <w:color w:val="000000"/>
          <w:sz w:val="20"/>
          <w:szCs w:val="20"/>
        </w:rPr>
        <w:t>upto</w:t>
      </w:r>
      <w:proofErr w:type="spellEnd"/>
      <w:r>
        <w:rPr>
          <w:rFonts w:ascii="Arial" w:hAnsi="Arial" w:cs="Arial"/>
          <w:color w:val="000000"/>
          <w:sz w:val="20"/>
          <w:szCs w:val="20"/>
        </w:rPr>
        <w:t xml:space="preserve"> an overall limit of ₹3 lakh to farmers through KCC at concessional interest rate during the years 2022-23 and 2023-24, it has been decided to provide interest subvention to lending institutions viz. Public Sector Banks (PSBs) and Private Sector Banks (in respect of loans given by their rural and semi-urban branches only), Small Finance Banks (SFBs) and computerized Primary Agriculture Cooperative Societies (PACS) which have been ceded with Scheduled Commercial Banks (SCBs), on use of their own resources. This interest subvention will be calculated on the loan amount from the date of disbursement/</w:t>
      </w:r>
      <w:proofErr w:type="spellStart"/>
      <w:r>
        <w:rPr>
          <w:rFonts w:ascii="Arial" w:hAnsi="Arial" w:cs="Arial"/>
          <w:color w:val="000000"/>
          <w:sz w:val="20"/>
          <w:szCs w:val="20"/>
        </w:rPr>
        <w:t>drawal</w:t>
      </w:r>
      <w:proofErr w:type="spellEnd"/>
      <w:r>
        <w:rPr>
          <w:rFonts w:ascii="Arial" w:hAnsi="Arial" w:cs="Arial"/>
          <w:color w:val="000000"/>
          <w:sz w:val="20"/>
          <w:szCs w:val="20"/>
        </w:rPr>
        <w:t xml:space="preserve"> up to the date of actual repayment of the loan by the farmer or up to the due date of the loan fixed by the banks, whichever is earlier, subject to a maximum period of one year. The applicable lending rate to farmers and the rate of interest subvention for the financial years 2022-23 and 2023-24 will be as follows:</w:t>
      </w:r>
    </w:p>
    <w:tbl>
      <w:tblPr>
        <w:tblW w:w="493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5"/>
        <w:gridCol w:w="2408"/>
        <w:gridCol w:w="4943"/>
      </w:tblGrid>
      <w:tr w:rsidR="00C96881" w:rsidTr="00C96881">
        <w:trPr>
          <w:trHeight w:val="418"/>
          <w:jc w:val="center"/>
        </w:trPr>
        <w:tc>
          <w:tcPr>
            <w:tcW w:w="873" w:type="pct"/>
            <w:tcMar>
              <w:top w:w="0" w:type="dxa"/>
              <w:left w:w="45" w:type="dxa"/>
              <w:bottom w:w="0" w:type="dxa"/>
              <w:right w:w="45" w:type="dxa"/>
            </w:tcMar>
            <w:vAlign w:val="center"/>
            <w:hideMark/>
          </w:tcPr>
          <w:p w:rsidR="00C96881" w:rsidRDefault="00C96881" w:rsidP="00C96881">
            <w:pPr>
              <w:jc w:val="center"/>
              <w:rPr>
                <w:rFonts w:ascii="Arial" w:hAnsi="Arial" w:cs="Arial"/>
                <w:b/>
                <w:bCs/>
                <w:color w:val="000000"/>
                <w:sz w:val="20"/>
                <w:szCs w:val="20"/>
              </w:rPr>
            </w:pPr>
            <w:r>
              <w:rPr>
                <w:rFonts w:ascii="Arial" w:hAnsi="Arial" w:cs="Arial"/>
                <w:b/>
                <w:bCs/>
                <w:color w:val="000000"/>
                <w:sz w:val="20"/>
                <w:szCs w:val="20"/>
              </w:rPr>
              <w:t>Financial Year</w:t>
            </w:r>
          </w:p>
        </w:tc>
        <w:tc>
          <w:tcPr>
            <w:tcW w:w="1352" w:type="pct"/>
            <w:tcMar>
              <w:top w:w="0" w:type="dxa"/>
              <w:left w:w="45" w:type="dxa"/>
              <w:bottom w:w="0" w:type="dxa"/>
              <w:right w:w="45" w:type="dxa"/>
            </w:tcMar>
            <w:vAlign w:val="center"/>
            <w:hideMark/>
          </w:tcPr>
          <w:p w:rsidR="00C96881" w:rsidRDefault="00C96881" w:rsidP="00C96881">
            <w:pPr>
              <w:jc w:val="center"/>
              <w:rPr>
                <w:rFonts w:ascii="Arial" w:hAnsi="Arial" w:cs="Arial"/>
                <w:b/>
                <w:bCs/>
                <w:color w:val="000000"/>
                <w:sz w:val="20"/>
                <w:szCs w:val="20"/>
              </w:rPr>
            </w:pPr>
            <w:r>
              <w:rPr>
                <w:rFonts w:ascii="Arial" w:hAnsi="Arial" w:cs="Arial"/>
                <w:b/>
                <w:bCs/>
                <w:color w:val="000000"/>
                <w:sz w:val="20"/>
                <w:szCs w:val="20"/>
              </w:rPr>
              <w:t>Lending rate to farmers</w:t>
            </w:r>
          </w:p>
        </w:tc>
        <w:tc>
          <w:tcPr>
            <w:tcW w:w="2775" w:type="pct"/>
            <w:tcMar>
              <w:top w:w="0" w:type="dxa"/>
              <w:left w:w="45" w:type="dxa"/>
              <w:bottom w:w="0" w:type="dxa"/>
              <w:right w:w="45" w:type="dxa"/>
            </w:tcMar>
            <w:vAlign w:val="center"/>
            <w:hideMark/>
          </w:tcPr>
          <w:p w:rsidR="00C96881" w:rsidRDefault="00C96881" w:rsidP="00C96881">
            <w:pPr>
              <w:jc w:val="center"/>
              <w:rPr>
                <w:rFonts w:ascii="Arial" w:hAnsi="Arial" w:cs="Arial"/>
                <w:b/>
                <w:bCs/>
                <w:color w:val="000000"/>
                <w:sz w:val="20"/>
                <w:szCs w:val="20"/>
              </w:rPr>
            </w:pPr>
            <w:r>
              <w:rPr>
                <w:rFonts w:ascii="Arial" w:hAnsi="Arial" w:cs="Arial"/>
                <w:b/>
                <w:bCs/>
                <w:color w:val="000000"/>
                <w:sz w:val="20"/>
                <w:szCs w:val="20"/>
              </w:rPr>
              <w:t>Rate of Interest Subvention to Lending Institutions</w:t>
            </w:r>
          </w:p>
        </w:tc>
      </w:tr>
      <w:tr w:rsidR="00C96881" w:rsidTr="00C96881">
        <w:trPr>
          <w:trHeight w:val="141"/>
          <w:jc w:val="center"/>
        </w:trPr>
        <w:tc>
          <w:tcPr>
            <w:tcW w:w="873" w:type="pct"/>
            <w:tcMar>
              <w:top w:w="0" w:type="dxa"/>
              <w:left w:w="45" w:type="dxa"/>
              <w:bottom w:w="0" w:type="dxa"/>
              <w:right w:w="45" w:type="dxa"/>
            </w:tcMar>
            <w:vAlign w:val="center"/>
            <w:hideMark/>
          </w:tcPr>
          <w:p w:rsidR="00C96881" w:rsidRDefault="00C96881" w:rsidP="00C96881">
            <w:pPr>
              <w:jc w:val="center"/>
              <w:rPr>
                <w:rFonts w:ascii="Arial" w:hAnsi="Arial" w:cs="Arial"/>
                <w:color w:val="000000"/>
                <w:sz w:val="20"/>
                <w:szCs w:val="20"/>
              </w:rPr>
            </w:pPr>
            <w:r>
              <w:rPr>
                <w:rFonts w:ascii="Arial" w:hAnsi="Arial" w:cs="Arial"/>
                <w:color w:val="000000"/>
                <w:sz w:val="20"/>
                <w:szCs w:val="20"/>
              </w:rPr>
              <w:t>2022-23</w:t>
            </w:r>
          </w:p>
        </w:tc>
        <w:tc>
          <w:tcPr>
            <w:tcW w:w="1352" w:type="pct"/>
            <w:tcMar>
              <w:top w:w="0" w:type="dxa"/>
              <w:left w:w="45" w:type="dxa"/>
              <w:bottom w:w="0" w:type="dxa"/>
              <w:right w:w="45" w:type="dxa"/>
            </w:tcMar>
            <w:vAlign w:val="center"/>
            <w:hideMark/>
          </w:tcPr>
          <w:p w:rsidR="00C96881" w:rsidRDefault="00C96881" w:rsidP="00C96881">
            <w:pPr>
              <w:jc w:val="center"/>
              <w:rPr>
                <w:rFonts w:ascii="Arial" w:hAnsi="Arial" w:cs="Arial"/>
                <w:color w:val="000000"/>
                <w:sz w:val="20"/>
                <w:szCs w:val="20"/>
              </w:rPr>
            </w:pPr>
            <w:r>
              <w:rPr>
                <w:rFonts w:ascii="Arial" w:hAnsi="Arial" w:cs="Arial"/>
                <w:color w:val="000000"/>
                <w:sz w:val="20"/>
                <w:szCs w:val="20"/>
              </w:rPr>
              <w:t>7%</w:t>
            </w:r>
          </w:p>
        </w:tc>
        <w:tc>
          <w:tcPr>
            <w:tcW w:w="2775" w:type="pct"/>
            <w:tcMar>
              <w:top w:w="0" w:type="dxa"/>
              <w:left w:w="45" w:type="dxa"/>
              <w:bottom w:w="0" w:type="dxa"/>
              <w:right w:w="45" w:type="dxa"/>
            </w:tcMar>
            <w:vAlign w:val="center"/>
            <w:hideMark/>
          </w:tcPr>
          <w:p w:rsidR="00C96881" w:rsidRDefault="00C96881" w:rsidP="00C96881">
            <w:pPr>
              <w:jc w:val="center"/>
              <w:rPr>
                <w:rFonts w:ascii="Arial" w:hAnsi="Arial" w:cs="Arial"/>
                <w:color w:val="000000"/>
                <w:sz w:val="20"/>
                <w:szCs w:val="20"/>
              </w:rPr>
            </w:pPr>
            <w:r>
              <w:rPr>
                <w:rFonts w:ascii="Arial" w:hAnsi="Arial" w:cs="Arial"/>
                <w:color w:val="000000"/>
                <w:sz w:val="20"/>
                <w:szCs w:val="20"/>
              </w:rPr>
              <w:t>1.50%</w:t>
            </w:r>
          </w:p>
        </w:tc>
      </w:tr>
      <w:tr w:rsidR="00C96881" w:rsidTr="00C96881">
        <w:trPr>
          <w:trHeight w:val="202"/>
          <w:jc w:val="center"/>
        </w:trPr>
        <w:tc>
          <w:tcPr>
            <w:tcW w:w="873" w:type="pct"/>
            <w:tcMar>
              <w:top w:w="0" w:type="dxa"/>
              <w:left w:w="45" w:type="dxa"/>
              <w:bottom w:w="0" w:type="dxa"/>
              <w:right w:w="45" w:type="dxa"/>
            </w:tcMar>
            <w:vAlign w:val="center"/>
            <w:hideMark/>
          </w:tcPr>
          <w:p w:rsidR="00C96881" w:rsidRDefault="00C96881" w:rsidP="00C96881">
            <w:pPr>
              <w:jc w:val="center"/>
              <w:rPr>
                <w:rFonts w:ascii="Arial" w:hAnsi="Arial" w:cs="Arial"/>
                <w:color w:val="000000"/>
                <w:sz w:val="20"/>
                <w:szCs w:val="20"/>
              </w:rPr>
            </w:pPr>
            <w:r>
              <w:rPr>
                <w:rFonts w:ascii="Arial" w:hAnsi="Arial" w:cs="Arial"/>
                <w:color w:val="000000"/>
                <w:sz w:val="20"/>
                <w:szCs w:val="20"/>
              </w:rPr>
              <w:t>2023-24</w:t>
            </w:r>
          </w:p>
        </w:tc>
        <w:tc>
          <w:tcPr>
            <w:tcW w:w="1352" w:type="pct"/>
            <w:tcMar>
              <w:top w:w="0" w:type="dxa"/>
              <w:left w:w="45" w:type="dxa"/>
              <w:bottom w:w="0" w:type="dxa"/>
              <w:right w:w="45" w:type="dxa"/>
            </w:tcMar>
            <w:vAlign w:val="center"/>
            <w:hideMark/>
          </w:tcPr>
          <w:p w:rsidR="00C96881" w:rsidRDefault="00C96881" w:rsidP="00C96881">
            <w:pPr>
              <w:jc w:val="center"/>
              <w:rPr>
                <w:rFonts w:ascii="Arial" w:hAnsi="Arial" w:cs="Arial"/>
                <w:color w:val="000000"/>
                <w:sz w:val="20"/>
                <w:szCs w:val="20"/>
              </w:rPr>
            </w:pPr>
            <w:r>
              <w:rPr>
                <w:rFonts w:ascii="Arial" w:hAnsi="Arial" w:cs="Arial"/>
                <w:color w:val="000000"/>
                <w:sz w:val="20"/>
                <w:szCs w:val="20"/>
              </w:rPr>
              <w:t>7%</w:t>
            </w:r>
          </w:p>
        </w:tc>
        <w:tc>
          <w:tcPr>
            <w:tcW w:w="2775" w:type="pct"/>
            <w:tcMar>
              <w:top w:w="0" w:type="dxa"/>
              <w:left w:w="45" w:type="dxa"/>
              <w:bottom w:w="0" w:type="dxa"/>
              <w:right w:w="45" w:type="dxa"/>
            </w:tcMar>
            <w:vAlign w:val="center"/>
            <w:hideMark/>
          </w:tcPr>
          <w:p w:rsidR="00C96881" w:rsidRDefault="00C96881" w:rsidP="00C96881">
            <w:pPr>
              <w:jc w:val="center"/>
              <w:rPr>
                <w:rFonts w:ascii="Arial" w:hAnsi="Arial" w:cs="Arial"/>
                <w:color w:val="000000"/>
                <w:sz w:val="20"/>
                <w:szCs w:val="20"/>
              </w:rPr>
            </w:pPr>
            <w:r>
              <w:rPr>
                <w:rFonts w:ascii="Arial" w:hAnsi="Arial" w:cs="Arial"/>
                <w:color w:val="000000"/>
                <w:sz w:val="20"/>
                <w:szCs w:val="20"/>
              </w:rPr>
              <w:t>1.50%</w:t>
            </w:r>
          </w:p>
        </w:tc>
      </w:tr>
    </w:tbl>
    <w:p w:rsidR="00C96881" w:rsidRDefault="00C96881" w:rsidP="00C96881">
      <w:pPr>
        <w:pStyle w:val="NormalWeb"/>
        <w:spacing w:after="0" w:afterAutospacing="0"/>
        <w:jc w:val="both"/>
        <w:rPr>
          <w:rFonts w:ascii="Arial" w:hAnsi="Arial" w:cs="Arial"/>
          <w:color w:val="000000"/>
          <w:sz w:val="20"/>
          <w:szCs w:val="20"/>
        </w:rPr>
      </w:pPr>
      <w:r>
        <w:rPr>
          <w:rFonts w:ascii="Arial" w:hAnsi="Arial" w:cs="Arial"/>
          <w:color w:val="000000"/>
          <w:sz w:val="20"/>
          <w:szCs w:val="20"/>
        </w:rPr>
        <w:t>Yours faithfully,</w:t>
      </w:r>
    </w:p>
    <w:p w:rsidR="00C96881" w:rsidRDefault="00C96881" w:rsidP="00C96881">
      <w:pPr>
        <w:pStyle w:val="NormalWeb"/>
        <w:rPr>
          <w:rFonts w:ascii="Arial" w:hAnsi="Arial" w:cs="Arial"/>
          <w:color w:val="000000"/>
          <w:sz w:val="20"/>
          <w:szCs w:val="20"/>
        </w:rPr>
      </w:pPr>
      <w:r>
        <w:rPr>
          <w:rFonts w:ascii="Arial" w:hAnsi="Arial" w:cs="Arial"/>
          <w:color w:val="000000"/>
          <w:sz w:val="20"/>
          <w:szCs w:val="20"/>
        </w:rPr>
        <w:t>(</w:t>
      </w:r>
      <w:proofErr w:type="spellStart"/>
      <w:r>
        <w:rPr>
          <w:rFonts w:ascii="Arial" w:hAnsi="Arial" w:cs="Arial"/>
          <w:color w:val="000000"/>
          <w:sz w:val="20"/>
          <w:szCs w:val="20"/>
        </w:rPr>
        <w:t>Nisha</w:t>
      </w:r>
      <w:proofErr w:type="spellEnd"/>
      <w:r>
        <w:rPr>
          <w:rFonts w:ascii="Arial" w:hAnsi="Arial" w:cs="Arial"/>
          <w:color w:val="000000"/>
          <w:sz w:val="20"/>
          <w:szCs w:val="20"/>
        </w:rPr>
        <w:t xml:space="preserve"> </w:t>
      </w:r>
      <w:proofErr w:type="spellStart"/>
      <w:r>
        <w:rPr>
          <w:rFonts w:ascii="Arial" w:hAnsi="Arial" w:cs="Arial"/>
          <w:color w:val="000000"/>
          <w:sz w:val="20"/>
          <w:szCs w:val="20"/>
        </w:rPr>
        <w:t>Nambiar</w:t>
      </w:r>
      <w:proofErr w:type="spellEnd"/>
      <w:r>
        <w:rPr>
          <w:rFonts w:ascii="Arial" w:hAnsi="Arial" w:cs="Arial"/>
          <w:color w:val="000000"/>
          <w:sz w:val="20"/>
          <w:szCs w:val="20"/>
        </w:rPr>
        <w:t>)</w:t>
      </w:r>
      <w:r>
        <w:rPr>
          <w:rFonts w:ascii="Arial" w:hAnsi="Arial" w:cs="Arial"/>
          <w:color w:val="000000"/>
          <w:sz w:val="20"/>
          <w:szCs w:val="20"/>
        </w:rPr>
        <w:br/>
        <w:t>Chief General Manager</w:t>
      </w:r>
    </w:p>
    <w:p w:rsidR="00C96881" w:rsidRDefault="00C96881" w:rsidP="00C96881">
      <w:pPr>
        <w:pStyle w:val="NormalWeb"/>
        <w:rPr>
          <w:rFonts w:ascii="Arial" w:hAnsi="Arial" w:cs="Arial"/>
          <w:b/>
          <w:color w:val="000000"/>
          <w:sz w:val="20"/>
          <w:szCs w:val="20"/>
        </w:rPr>
      </w:pPr>
    </w:p>
    <w:p w:rsidR="00C96881" w:rsidRDefault="00C96881" w:rsidP="00C96881">
      <w:pPr>
        <w:pStyle w:val="NormalWeb"/>
        <w:rPr>
          <w:rFonts w:ascii="Arial" w:hAnsi="Arial" w:cs="Arial"/>
          <w:b/>
          <w:color w:val="000000"/>
          <w:sz w:val="20"/>
          <w:szCs w:val="20"/>
        </w:rPr>
      </w:pPr>
    </w:p>
    <w:p w:rsidR="00C96881" w:rsidRDefault="00C96881" w:rsidP="00C96881">
      <w:r>
        <w:t>More details can be referred to in the below link.</w:t>
      </w:r>
    </w:p>
    <w:p w:rsidR="00C96881" w:rsidRDefault="00C96881" w:rsidP="00C96881">
      <w:pPr>
        <w:pStyle w:val="NormalWeb"/>
        <w:rPr>
          <w:rFonts w:ascii="Arial" w:hAnsi="Arial" w:cs="Arial"/>
          <w:bCs/>
          <w:color w:val="000000"/>
          <w:sz w:val="20"/>
          <w:szCs w:val="20"/>
        </w:rPr>
      </w:pPr>
      <w:r>
        <w:rPr>
          <w:rFonts w:ascii="Arial" w:hAnsi="Arial" w:cs="Arial"/>
          <w:bCs/>
          <w:color w:val="000000"/>
          <w:sz w:val="20"/>
          <w:szCs w:val="20"/>
        </w:rPr>
        <w:t xml:space="preserve">Reference Link: </w:t>
      </w:r>
      <w:hyperlink r:id="rId152" w:history="1">
        <w:r w:rsidRPr="006865D6">
          <w:rPr>
            <w:rStyle w:val="Hyperlink"/>
            <w:rFonts w:ascii="Arial" w:hAnsi="Arial" w:cs="Arial"/>
            <w:bCs/>
            <w:sz w:val="20"/>
            <w:szCs w:val="20"/>
          </w:rPr>
          <w:t>https://www.rbi.org.in/scripts/NotificationUser.aspx?Id=12411&amp;Mode=0</w:t>
        </w:r>
      </w:hyperlink>
    </w:p>
    <w:p w:rsidR="00C96881" w:rsidRDefault="00C96881" w:rsidP="00C96881">
      <w:pPr>
        <w:pStyle w:val="NormalWeb"/>
        <w:rPr>
          <w:rFonts w:ascii="Arial" w:hAnsi="Arial" w:cs="Arial"/>
          <w:b/>
          <w:bCs/>
          <w:color w:val="000000"/>
          <w:sz w:val="20"/>
          <w:szCs w:val="20"/>
        </w:rPr>
      </w:pPr>
      <w:r>
        <w:rPr>
          <w:rFonts w:ascii="Arial" w:hAnsi="Arial" w:cs="Arial"/>
          <w:b/>
          <w:bCs/>
          <w:color w:val="000000"/>
          <w:sz w:val="20"/>
          <w:szCs w:val="20"/>
        </w:rPr>
        <w:t>Inclusion of Goods and Service Tax Network (GSTN) as a Financial Information Provider under Account Aggregator Framework</w:t>
      </w:r>
    </w:p>
    <w:p w:rsidR="00C96881" w:rsidRDefault="00C96881" w:rsidP="00C96881">
      <w:pPr>
        <w:pStyle w:val="NormalWeb"/>
        <w:jc w:val="both"/>
        <w:rPr>
          <w:rFonts w:ascii="Arial" w:hAnsi="Arial" w:cs="Arial"/>
          <w:color w:val="000000"/>
          <w:sz w:val="20"/>
          <w:szCs w:val="20"/>
        </w:rPr>
      </w:pPr>
      <w:r>
        <w:rPr>
          <w:rFonts w:ascii="Arial" w:hAnsi="Arial" w:cs="Arial"/>
          <w:color w:val="000000"/>
          <w:sz w:val="20"/>
          <w:szCs w:val="20"/>
        </w:rPr>
        <w:t>RBI/2022-23/140</w:t>
      </w:r>
      <w:r>
        <w:rPr>
          <w:rFonts w:ascii="Arial" w:hAnsi="Arial" w:cs="Arial"/>
          <w:color w:val="000000"/>
          <w:sz w:val="20"/>
          <w:szCs w:val="20"/>
        </w:rPr>
        <w:br/>
        <w:t>DoR.FIN.REC.82/03.10.123/2022-23</w:t>
      </w:r>
    </w:p>
    <w:p w:rsidR="00C96881" w:rsidRDefault="00C96881" w:rsidP="00C96881">
      <w:pPr>
        <w:pStyle w:val="NormalWeb"/>
        <w:jc w:val="right"/>
        <w:rPr>
          <w:rFonts w:ascii="Arial" w:hAnsi="Arial" w:cs="Arial"/>
          <w:color w:val="000000"/>
          <w:sz w:val="20"/>
          <w:szCs w:val="20"/>
        </w:rPr>
      </w:pPr>
      <w:r>
        <w:rPr>
          <w:rFonts w:ascii="Arial" w:hAnsi="Arial" w:cs="Arial"/>
          <w:color w:val="000000"/>
          <w:sz w:val="20"/>
          <w:szCs w:val="20"/>
        </w:rPr>
        <w:t>November 23, 2022</w:t>
      </w:r>
    </w:p>
    <w:p w:rsidR="00C96881" w:rsidRDefault="00C96881" w:rsidP="00C96881">
      <w:pPr>
        <w:pStyle w:val="NormalWeb"/>
        <w:jc w:val="both"/>
        <w:rPr>
          <w:rFonts w:ascii="Arial" w:hAnsi="Arial" w:cs="Arial"/>
          <w:color w:val="000000"/>
          <w:sz w:val="20"/>
          <w:szCs w:val="20"/>
        </w:rPr>
      </w:pPr>
      <w:r>
        <w:rPr>
          <w:rFonts w:ascii="Arial" w:hAnsi="Arial" w:cs="Arial"/>
          <w:color w:val="000000"/>
          <w:sz w:val="20"/>
          <w:szCs w:val="20"/>
        </w:rPr>
        <w:t>To All Regulated Entities of the Bank</w:t>
      </w:r>
    </w:p>
    <w:p w:rsidR="00C96881" w:rsidRDefault="00C96881" w:rsidP="00C96881">
      <w:pPr>
        <w:pStyle w:val="NormalWeb"/>
        <w:jc w:val="both"/>
        <w:rPr>
          <w:rFonts w:ascii="Arial" w:hAnsi="Arial" w:cs="Arial"/>
          <w:color w:val="000000"/>
          <w:sz w:val="20"/>
          <w:szCs w:val="20"/>
        </w:rPr>
      </w:pPr>
      <w:r>
        <w:rPr>
          <w:rFonts w:ascii="Arial" w:hAnsi="Arial" w:cs="Arial"/>
          <w:color w:val="000000"/>
          <w:sz w:val="20"/>
          <w:szCs w:val="20"/>
        </w:rPr>
        <w:t>Madam/Dear Sir,</w:t>
      </w:r>
    </w:p>
    <w:p w:rsidR="00C96881" w:rsidRDefault="00C96881" w:rsidP="00C96881">
      <w:pPr>
        <w:pStyle w:val="head"/>
        <w:jc w:val="both"/>
        <w:rPr>
          <w:rFonts w:ascii="Arial" w:hAnsi="Arial" w:cs="Arial"/>
          <w:b/>
          <w:bCs/>
          <w:color w:val="000000"/>
          <w:sz w:val="20"/>
          <w:szCs w:val="20"/>
        </w:rPr>
      </w:pPr>
      <w:r>
        <w:rPr>
          <w:rFonts w:ascii="Arial" w:hAnsi="Arial" w:cs="Arial"/>
          <w:b/>
          <w:bCs/>
          <w:color w:val="000000"/>
          <w:sz w:val="20"/>
          <w:szCs w:val="20"/>
        </w:rPr>
        <w:t>Inclusion of Goods and Service Tax Network (GSTN) as a Financial Information Provider under Account Aggregator Framework</w:t>
      </w:r>
    </w:p>
    <w:p w:rsidR="00C96881" w:rsidRDefault="00C96881" w:rsidP="00C96881">
      <w:pPr>
        <w:pStyle w:val="NormalWeb"/>
        <w:jc w:val="both"/>
        <w:rPr>
          <w:rFonts w:ascii="Arial" w:hAnsi="Arial" w:cs="Arial"/>
          <w:color w:val="000000"/>
          <w:sz w:val="20"/>
          <w:szCs w:val="20"/>
        </w:rPr>
      </w:pPr>
      <w:r>
        <w:rPr>
          <w:rFonts w:ascii="Arial" w:hAnsi="Arial" w:cs="Arial"/>
          <w:color w:val="000000"/>
          <w:sz w:val="20"/>
          <w:szCs w:val="20"/>
        </w:rPr>
        <w:t>Please refer to the </w:t>
      </w:r>
      <w:hyperlink r:id="rId153" w:tgtFrame="_blank" w:history="1">
        <w:r>
          <w:rPr>
            <w:rStyle w:val="Hyperlink"/>
            <w:rFonts w:ascii="Arial" w:hAnsi="Arial" w:cs="Arial"/>
            <w:sz w:val="20"/>
            <w:szCs w:val="20"/>
          </w:rPr>
          <w:t>Master Direction – Non-Banking Financial Company - Account Aggregator (Reserve Bank) Directions, 2016 dated September 02, 2016</w:t>
        </w:r>
      </w:hyperlink>
      <w:r>
        <w:rPr>
          <w:rFonts w:ascii="Arial" w:hAnsi="Arial" w:cs="Arial"/>
          <w:color w:val="000000"/>
          <w:sz w:val="20"/>
          <w:szCs w:val="20"/>
        </w:rPr>
        <w:t>.</w:t>
      </w:r>
    </w:p>
    <w:p w:rsidR="00C96881" w:rsidRDefault="00C96881" w:rsidP="00C96881">
      <w:pPr>
        <w:pStyle w:val="NormalWeb"/>
        <w:jc w:val="both"/>
        <w:rPr>
          <w:rFonts w:ascii="Arial" w:hAnsi="Arial" w:cs="Arial"/>
          <w:color w:val="000000"/>
          <w:sz w:val="20"/>
          <w:szCs w:val="20"/>
        </w:rPr>
      </w:pPr>
      <w:r>
        <w:rPr>
          <w:rFonts w:ascii="Arial" w:hAnsi="Arial" w:cs="Arial"/>
          <w:color w:val="000000"/>
          <w:sz w:val="20"/>
          <w:szCs w:val="20"/>
        </w:rPr>
        <w:t>2. With a view to facilitate cash flow-based lending to MSMEs, it has been decided to include Goods and Services Tax Network (GSTN) as a Financial Information Provider (FIP) under the Account Aggregator (AA) framework. Department of Revenue shall be the regulator of GSTN for this specific purpose and Goods and Services Tax (GST) Returns, viz. Form GSTR-1 and Form GSTR-3B, shall be the Financial Information.</w:t>
      </w:r>
    </w:p>
    <w:p w:rsidR="00C96881" w:rsidRDefault="00C96881" w:rsidP="00C96881">
      <w:pPr>
        <w:pStyle w:val="NormalWeb"/>
        <w:jc w:val="both"/>
        <w:rPr>
          <w:rFonts w:ascii="Arial" w:hAnsi="Arial" w:cs="Arial"/>
          <w:color w:val="000000"/>
          <w:sz w:val="20"/>
          <w:szCs w:val="20"/>
        </w:rPr>
      </w:pPr>
      <w:r>
        <w:rPr>
          <w:rFonts w:ascii="Arial" w:hAnsi="Arial" w:cs="Arial"/>
          <w:color w:val="000000"/>
          <w:sz w:val="20"/>
          <w:szCs w:val="20"/>
        </w:rPr>
        <w:t>3. Accordingly, the select instructions contained in the Master Direction referred to above have been amended, as detailed in the </w:t>
      </w:r>
      <w:hyperlink r:id="rId154" w:anchor="AN1" w:history="1">
        <w:r>
          <w:rPr>
            <w:rStyle w:val="Hyperlink"/>
            <w:rFonts w:ascii="Arial" w:hAnsi="Arial" w:cs="Arial"/>
            <w:sz w:val="20"/>
            <w:szCs w:val="20"/>
          </w:rPr>
          <w:t>Annex</w:t>
        </w:r>
      </w:hyperlink>
      <w:r>
        <w:rPr>
          <w:rFonts w:ascii="Arial" w:hAnsi="Arial" w:cs="Arial"/>
          <w:color w:val="000000"/>
          <w:sz w:val="20"/>
          <w:szCs w:val="20"/>
        </w:rPr>
        <w:t>.</w:t>
      </w:r>
    </w:p>
    <w:p w:rsidR="00C96881" w:rsidRDefault="00C96881" w:rsidP="00C96881">
      <w:pPr>
        <w:pStyle w:val="NormalWeb"/>
        <w:jc w:val="both"/>
        <w:rPr>
          <w:rFonts w:ascii="Arial" w:hAnsi="Arial" w:cs="Arial"/>
          <w:color w:val="000000"/>
          <w:sz w:val="20"/>
          <w:szCs w:val="20"/>
        </w:rPr>
      </w:pPr>
      <w:r>
        <w:rPr>
          <w:rFonts w:ascii="Arial" w:hAnsi="Arial" w:cs="Arial"/>
          <w:color w:val="000000"/>
          <w:sz w:val="20"/>
          <w:szCs w:val="20"/>
        </w:rPr>
        <w:t>Yours faithfully,</w:t>
      </w:r>
    </w:p>
    <w:p w:rsidR="00C96881" w:rsidRDefault="00C96881" w:rsidP="00C96881">
      <w:pPr>
        <w:pStyle w:val="NormalWeb"/>
        <w:rPr>
          <w:rFonts w:ascii="Arial" w:hAnsi="Arial" w:cs="Arial"/>
          <w:color w:val="000000"/>
          <w:sz w:val="20"/>
          <w:szCs w:val="20"/>
        </w:rPr>
      </w:pPr>
      <w:r>
        <w:rPr>
          <w:rFonts w:ascii="Arial" w:hAnsi="Arial" w:cs="Arial"/>
          <w:color w:val="000000"/>
          <w:sz w:val="20"/>
          <w:szCs w:val="20"/>
        </w:rPr>
        <w:t>(J.P. Sharma)</w:t>
      </w:r>
      <w:r>
        <w:rPr>
          <w:rFonts w:ascii="Arial" w:hAnsi="Arial" w:cs="Arial"/>
          <w:color w:val="000000"/>
          <w:sz w:val="20"/>
          <w:szCs w:val="20"/>
        </w:rPr>
        <w:br/>
        <w:t>Chief General Manager</w:t>
      </w:r>
    </w:p>
    <w:p w:rsidR="00C96881" w:rsidRDefault="00C96881" w:rsidP="00C96881">
      <w:pPr>
        <w:pStyle w:val="NormalWeb"/>
        <w:rPr>
          <w:rFonts w:ascii="Arial" w:hAnsi="Arial" w:cs="Arial"/>
          <w:b/>
          <w:color w:val="000000"/>
          <w:sz w:val="20"/>
          <w:szCs w:val="20"/>
        </w:rPr>
      </w:pPr>
    </w:p>
    <w:p w:rsidR="00C96881" w:rsidRDefault="00C96881" w:rsidP="00C96881"/>
    <w:p w:rsidR="00C96881" w:rsidRDefault="00C96881" w:rsidP="00C96881">
      <w:r>
        <w:t>More details can be referred to in the below link.</w:t>
      </w:r>
    </w:p>
    <w:p w:rsidR="00C96881" w:rsidRDefault="00C96881" w:rsidP="00C96881">
      <w:pPr>
        <w:pStyle w:val="NormalWeb"/>
        <w:rPr>
          <w:rFonts w:ascii="Arial" w:hAnsi="Arial" w:cs="Arial"/>
          <w:bCs/>
          <w:color w:val="000000"/>
          <w:sz w:val="20"/>
          <w:szCs w:val="20"/>
        </w:rPr>
      </w:pPr>
      <w:r>
        <w:rPr>
          <w:rFonts w:ascii="Arial" w:hAnsi="Arial" w:cs="Arial"/>
          <w:bCs/>
          <w:color w:val="000000"/>
          <w:sz w:val="20"/>
          <w:szCs w:val="20"/>
        </w:rPr>
        <w:t xml:space="preserve">Reference Link: </w:t>
      </w:r>
      <w:hyperlink r:id="rId155" w:history="1">
        <w:r w:rsidRPr="006865D6">
          <w:rPr>
            <w:rStyle w:val="Hyperlink"/>
            <w:rFonts w:ascii="Arial" w:hAnsi="Arial" w:cs="Arial"/>
            <w:bCs/>
            <w:sz w:val="20"/>
            <w:szCs w:val="20"/>
          </w:rPr>
          <w:t>https://www.rbi.org.in/scripts/NotificationUser.aspx?Id=12412&amp;Mode=0</w:t>
        </w:r>
      </w:hyperlink>
    </w:p>
    <w:p w:rsidR="00C96881" w:rsidRDefault="00C96881" w:rsidP="00C96881">
      <w:pPr>
        <w:pStyle w:val="NormalWeb"/>
        <w:rPr>
          <w:rFonts w:ascii="Arial" w:hAnsi="Arial" w:cs="Arial"/>
          <w:bCs/>
          <w:color w:val="000000"/>
          <w:sz w:val="20"/>
          <w:szCs w:val="20"/>
        </w:rPr>
      </w:pPr>
    </w:p>
    <w:p w:rsidR="00C96881" w:rsidRDefault="00C96881" w:rsidP="00C96881">
      <w:pPr>
        <w:pStyle w:val="NormalWeb"/>
        <w:rPr>
          <w:rFonts w:ascii="Arial" w:hAnsi="Arial" w:cs="Arial"/>
          <w:bCs/>
          <w:color w:val="000000"/>
          <w:sz w:val="20"/>
          <w:szCs w:val="20"/>
        </w:rPr>
      </w:pPr>
    </w:p>
    <w:p w:rsidR="00C96881" w:rsidRDefault="00C96881" w:rsidP="00C96881">
      <w:pPr>
        <w:pStyle w:val="NormalWeb"/>
        <w:rPr>
          <w:rFonts w:ascii="Arial" w:hAnsi="Arial" w:cs="Arial"/>
          <w:bCs/>
          <w:color w:val="000000"/>
          <w:sz w:val="20"/>
          <w:szCs w:val="20"/>
        </w:rPr>
      </w:pPr>
    </w:p>
    <w:p w:rsidR="00C96881" w:rsidRDefault="00C96881" w:rsidP="00C96881">
      <w:pPr>
        <w:pStyle w:val="NormalWeb"/>
        <w:rPr>
          <w:rFonts w:ascii="Arial" w:hAnsi="Arial" w:cs="Arial"/>
          <w:bCs/>
          <w:color w:val="000000"/>
          <w:sz w:val="20"/>
          <w:szCs w:val="20"/>
        </w:rPr>
      </w:pPr>
    </w:p>
    <w:p w:rsidR="00C96881" w:rsidRDefault="00C96881" w:rsidP="00C96881">
      <w:pPr>
        <w:pStyle w:val="NormalWeb"/>
        <w:rPr>
          <w:rFonts w:ascii="Arial" w:hAnsi="Arial" w:cs="Arial"/>
          <w:bCs/>
          <w:color w:val="000000"/>
          <w:sz w:val="20"/>
          <w:szCs w:val="20"/>
        </w:rPr>
      </w:pPr>
    </w:p>
    <w:p w:rsidR="00C96881" w:rsidRDefault="00C96881" w:rsidP="00C96881">
      <w:pPr>
        <w:pStyle w:val="NormalWeb"/>
        <w:rPr>
          <w:rFonts w:ascii="Arial" w:hAnsi="Arial" w:cs="Arial"/>
          <w:bCs/>
          <w:color w:val="000000"/>
          <w:sz w:val="20"/>
          <w:szCs w:val="20"/>
        </w:rPr>
      </w:pPr>
    </w:p>
    <w:p w:rsidR="00C96881" w:rsidRDefault="00C96881" w:rsidP="00C96881">
      <w:pPr>
        <w:pStyle w:val="NormalWeb"/>
        <w:rPr>
          <w:rFonts w:ascii="Arial" w:hAnsi="Arial" w:cs="Arial"/>
          <w:bCs/>
          <w:color w:val="000000"/>
          <w:sz w:val="20"/>
          <w:szCs w:val="20"/>
        </w:rPr>
      </w:pPr>
    </w:p>
    <w:p w:rsidR="00C96881" w:rsidRDefault="00C96881" w:rsidP="0001090D">
      <w:pPr>
        <w:rPr>
          <w:rFonts w:ascii="Arial" w:hAnsi="Arial" w:cs="Arial"/>
          <w:bCs/>
          <w:color w:val="000000"/>
          <w:sz w:val="20"/>
          <w:szCs w:val="20"/>
        </w:rPr>
      </w:pPr>
    </w:p>
    <w:p w:rsidR="00C96881" w:rsidRDefault="00C96881" w:rsidP="00C96881">
      <w:pPr>
        <w:rPr>
          <w:rFonts w:ascii="Arial" w:hAnsi="Arial" w:cs="Arial"/>
          <w:b/>
          <w:bCs/>
          <w:color w:val="000000"/>
          <w:sz w:val="20"/>
          <w:szCs w:val="20"/>
        </w:rPr>
      </w:pPr>
      <w:r>
        <w:rPr>
          <w:rFonts w:ascii="Arial" w:hAnsi="Arial" w:cs="Arial"/>
          <w:b/>
          <w:bCs/>
          <w:color w:val="000000"/>
          <w:sz w:val="20"/>
          <w:szCs w:val="20"/>
        </w:rPr>
        <w:t>Basel III Framework on Liquidity Standards – Standing Deposit Facility</w:t>
      </w:r>
    </w:p>
    <w:p w:rsidR="00C96881" w:rsidRDefault="00C96881" w:rsidP="00C96881">
      <w:pPr>
        <w:pStyle w:val="NormalWeb"/>
        <w:jc w:val="both"/>
        <w:rPr>
          <w:rFonts w:ascii="Arial" w:hAnsi="Arial" w:cs="Arial"/>
          <w:color w:val="000000"/>
          <w:sz w:val="20"/>
          <w:szCs w:val="20"/>
        </w:rPr>
      </w:pPr>
      <w:r>
        <w:rPr>
          <w:rFonts w:ascii="Arial" w:hAnsi="Arial" w:cs="Arial"/>
          <w:color w:val="000000"/>
          <w:sz w:val="20"/>
          <w:szCs w:val="20"/>
        </w:rPr>
        <w:t>RBI/2022-23/141</w:t>
      </w:r>
      <w:r>
        <w:rPr>
          <w:rFonts w:ascii="Arial" w:hAnsi="Arial" w:cs="Arial"/>
          <w:color w:val="000000"/>
          <w:sz w:val="20"/>
          <w:szCs w:val="20"/>
        </w:rPr>
        <w:br/>
        <w:t>DOR.LRG.REC.83/03.10.001/2022-23</w:t>
      </w:r>
    </w:p>
    <w:p w:rsidR="00C96881" w:rsidRDefault="00C96881" w:rsidP="00C96881">
      <w:pPr>
        <w:pStyle w:val="NormalWeb"/>
        <w:jc w:val="right"/>
        <w:rPr>
          <w:rFonts w:ascii="Arial" w:hAnsi="Arial" w:cs="Arial"/>
          <w:color w:val="000000"/>
          <w:sz w:val="20"/>
          <w:szCs w:val="20"/>
        </w:rPr>
      </w:pPr>
      <w:r>
        <w:rPr>
          <w:rFonts w:ascii="Arial" w:hAnsi="Arial" w:cs="Arial"/>
          <w:color w:val="000000"/>
          <w:sz w:val="20"/>
          <w:szCs w:val="20"/>
        </w:rPr>
        <w:t>November 23, 2022</w:t>
      </w:r>
    </w:p>
    <w:p w:rsidR="00C96881" w:rsidRDefault="00C96881" w:rsidP="00C96881">
      <w:pPr>
        <w:pStyle w:val="NormalWeb"/>
        <w:jc w:val="both"/>
        <w:rPr>
          <w:rFonts w:ascii="Arial" w:hAnsi="Arial" w:cs="Arial"/>
          <w:color w:val="000000"/>
          <w:sz w:val="20"/>
          <w:szCs w:val="20"/>
        </w:rPr>
      </w:pPr>
      <w:r>
        <w:rPr>
          <w:rFonts w:ascii="Arial" w:hAnsi="Arial" w:cs="Arial"/>
          <w:color w:val="000000"/>
          <w:sz w:val="20"/>
          <w:szCs w:val="20"/>
        </w:rPr>
        <w:t>Madam/Dear Sir,</w:t>
      </w:r>
    </w:p>
    <w:p w:rsidR="00C96881" w:rsidRDefault="00C96881" w:rsidP="00C96881">
      <w:pPr>
        <w:pStyle w:val="head"/>
        <w:jc w:val="both"/>
        <w:rPr>
          <w:rFonts w:ascii="Arial" w:hAnsi="Arial" w:cs="Arial"/>
          <w:b/>
          <w:bCs/>
          <w:color w:val="000000"/>
          <w:sz w:val="20"/>
          <w:szCs w:val="20"/>
        </w:rPr>
      </w:pPr>
      <w:r>
        <w:rPr>
          <w:rFonts w:ascii="Arial" w:hAnsi="Arial" w:cs="Arial"/>
          <w:b/>
          <w:bCs/>
          <w:color w:val="000000"/>
          <w:sz w:val="20"/>
          <w:szCs w:val="20"/>
        </w:rPr>
        <w:t>Basel III Framework on Liquidity Standards – Standing Deposit Facility</w:t>
      </w:r>
    </w:p>
    <w:p w:rsidR="00C96881" w:rsidRDefault="00C96881" w:rsidP="00C96881">
      <w:pPr>
        <w:pStyle w:val="NormalWeb"/>
        <w:jc w:val="both"/>
        <w:rPr>
          <w:rFonts w:ascii="Arial" w:hAnsi="Arial" w:cs="Arial"/>
          <w:color w:val="000000"/>
          <w:sz w:val="20"/>
          <w:szCs w:val="20"/>
        </w:rPr>
      </w:pPr>
      <w:r>
        <w:rPr>
          <w:rFonts w:ascii="Arial" w:hAnsi="Arial" w:cs="Arial"/>
          <w:color w:val="000000"/>
          <w:sz w:val="20"/>
          <w:szCs w:val="20"/>
        </w:rPr>
        <w:t>Please refer to </w:t>
      </w:r>
      <w:hyperlink r:id="rId156" w:tgtFrame="_blank" w:history="1">
        <w:r>
          <w:rPr>
            <w:rStyle w:val="Hyperlink"/>
            <w:rFonts w:ascii="Arial" w:hAnsi="Arial" w:cs="Arial"/>
            <w:sz w:val="20"/>
            <w:szCs w:val="20"/>
          </w:rPr>
          <w:t>circular DBOD.BP.BC.No.120/21.04.098/2013-14 dated June 09, 2014</w:t>
        </w:r>
      </w:hyperlink>
      <w:r>
        <w:rPr>
          <w:rFonts w:ascii="Arial" w:hAnsi="Arial" w:cs="Arial"/>
          <w:color w:val="000000"/>
          <w:sz w:val="20"/>
          <w:szCs w:val="20"/>
        </w:rPr>
        <w:t> on ‘Basel III Framework on Liquidity Standards – Liquidity Coverage Ratio (LCR), Liquidity Risk Monitoring Tools and LCR Disclosure Standards’ and the </w:t>
      </w:r>
      <w:hyperlink r:id="rId157" w:tgtFrame="_blank" w:history="1">
        <w:r>
          <w:rPr>
            <w:rStyle w:val="Hyperlink"/>
            <w:rFonts w:ascii="Arial" w:hAnsi="Arial" w:cs="Arial"/>
            <w:sz w:val="20"/>
            <w:szCs w:val="20"/>
          </w:rPr>
          <w:t>Press Release 2022-2023/41 dated April 08, 2022</w:t>
        </w:r>
      </w:hyperlink>
      <w:r>
        <w:rPr>
          <w:rFonts w:ascii="Arial" w:hAnsi="Arial" w:cs="Arial"/>
          <w:color w:val="000000"/>
          <w:sz w:val="20"/>
          <w:szCs w:val="20"/>
        </w:rPr>
        <w:t> on operationalising of Standing Deposit Facility (SDF).</w:t>
      </w:r>
    </w:p>
    <w:p w:rsidR="00C96881" w:rsidRDefault="00C96881" w:rsidP="00C96881">
      <w:pPr>
        <w:pStyle w:val="NormalWeb"/>
        <w:jc w:val="both"/>
        <w:rPr>
          <w:rFonts w:ascii="Arial" w:hAnsi="Arial" w:cs="Arial"/>
          <w:color w:val="000000"/>
          <w:sz w:val="20"/>
          <w:szCs w:val="20"/>
        </w:rPr>
      </w:pPr>
      <w:r>
        <w:rPr>
          <w:rFonts w:ascii="Arial" w:hAnsi="Arial" w:cs="Arial"/>
          <w:color w:val="000000"/>
          <w:sz w:val="20"/>
          <w:szCs w:val="20"/>
        </w:rPr>
        <w:t>2. We have received queries from banks seeking clarification on the treatment of SDF under Liquidity Risk Management Framework.</w:t>
      </w:r>
    </w:p>
    <w:p w:rsidR="00C96881" w:rsidRDefault="00C96881" w:rsidP="00C96881">
      <w:pPr>
        <w:pStyle w:val="NormalWeb"/>
        <w:jc w:val="both"/>
        <w:rPr>
          <w:rFonts w:ascii="Arial" w:hAnsi="Arial" w:cs="Arial"/>
          <w:color w:val="000000"/>
          <w:sz w:val="20"/>
          <w:szCs w:val="20"/>
        </w:rPr>
      </w:pPr>
      <w:r>
        <w:rPr>
          <w:rFonts w:ascii="Arial" w:hAnsi="Arial" w:cs="Arial"/>
          <w:color w:val="000000"/>
          <w:sz w:val="20"/>
          <w:szCs w:val="20"/>
        </w:rPr>
        <w:t>3. Accordingly, it is advised that the overnight balances held by banks with RBI under SDF shall be eligible as ‘Level 1 High Quality Liquid Assets (HQLA)’ for computation of LCR.</w:t>
      </w:r>
    </w:p>
    <w:p w:rsidR="00C96881" w:rsidRDefault="00C96881" w:rsidP="00C96881">
      <w:pPr>
        <w:pStyle w:val="head"/>
        <w:jc w:val="both"/>
        <w:rPr>
          <w:rFonts w:ascii="Arial" w:hAnsi="Arial" w:cs="Arial"/>
          <w:b/>
          <w:bCs/>
          <w:color w:val="000000"/>
          <w:sz w:val="20"/>
          <w:szCs w:val="20"/>
        </w:rPr>
      </w:pPr>
      <w:r>
        <w:rPr>
          <w:rFonts w:ascii="Arial" w:hAnsi="Arial" w:cs="Arial"/>
          <w:b/>
          <w:bCs/>
          <w:color w:val="000000"/>
          <w:sz w:val="20"/>
          <w:szCs w:val="20"/>
        </w:rPr>
        <w:t>Applicability</w:t>
      </w:r>
    </w:p>
    <w:p w:rsidR="00C96881" w:rsidRDefault="00C96881" w:rsidP="00C96881">
      <w:pPr>
        <w:pStyle w:val="NormalWeb"/>
        <w:jc w:val="both"/>
        <w:rPr>
          <w:rFonts w:ascii="Arial" w:hAnsi="Arial" w:cs="Arial"/>
          <w:color w:val="000000"/>
          <w:sz w:val="20"/>
          <w:szCs w:val="20"/>
        </w:rPr>
      </w:pPr>
      <w:r>
        <w:rPr>
          <w:rFonts w:ascii="Arial" w:hAnsi="Arial" w:cs="Arial"/>
          <w:color w:val="000000"/>
          <w:sz w:val="20"/>
          <w:szCs w:val="20"/>
        </w:rPr>
        <w:t>4. This circular is applicable to all Commercial Banks (excluding Local Area Banks, Regional Rural Banks and Payments Banks).</w:t>
      </w:r>
    </w:p>
    <w:p w:rsidR="00C96881" w:rsidRDefault="00C96881" w:rsidP="00C96881">
      <w:pPr>
        <w:pStyle w:val="NormalWeb"/>
        <w:jc w:val="both"/>
        <w:rPr>
          <w:rFonts w:ascii="Arial" w:hAnsi="Arial" w:cs="Arial"/>
          <w:color w:val="000000"/>
          <w:sz w:val="20"/>
          <w:szCs w:val="20"/>
        </w:rPr>
      </w:pPr>
      <w:r>
        <w:rPr>
          <w:rFonts w:ascii="Arial" w:hAnsi="Arial" w:cs="Arial"/>
          <w:color w:val="000000"/>
          <w:sz w:val="20"/>
          <w:szCs w:val="20"/>
        </w:rPr>
        <w:t>5. These instructions shall come into force with immediate effect.</w:t>
      </w:r>
    </w:p>
    <w:p w:rsidR="00C96881" w:rsidRDefault="00C96881" w:rsidP="00C96881">
      <w:pPr>
        <w:pStyle w:val="NormalWeb"/>
        <w:jc w:val="both"/>
        <w:rPr>
          <w:rFonts w:ascii="Arial" w:hAnsi="Arial" w:cs="Arial"/>
          <w:color w:val="000000"/>
          <w:sz w:val="20"/>
          <w:szCs w:val="20"/>
        </w:rPr>
      </w:pPr>
      <w:r>
        <w:rPr>
          <w:rFonts w:ascii="Arial" w:hAnsi="Arial" w:cs="Arial"/>
          <w:color w:val="000000"/>
          <w:sz w:val="20"/>
          <w:szCs w:val="20"/>
        </w:rPr>
        <w:t>Yours faithfully</w:t>
      </w:r>
    </w:p>
    <w:p w:rsidR="00C96881" w:rsidRDefault="00C96881" w:rsidP="00C96881">
      <w:pPr>
        <w:pStyle w:val="NormalWeb"/>
        <w:rPr>
          <w:rFonts w:ascii="Arial" w:hAnsi="Arial" w:cs="Arial"/>
          <w:color w:val="000000"/>
          <w:sz w:val="20"/>
          <w:szCs w:val="20"/>
        </w:rPr>
      </w:pPr>
      <w:r>
        <w:rPr>
          <w:rFonts w:ascii="Arial" w:hAnsi="Arial" w:cs="Arial"/>
          <w:color w:val="000000"/>
          <w:sz w:val="20"/>
          <w:szCs w:val="20"/>
        </w:rPr>
        <w:t>(</w:t>
      </w:r>
      <w:proofErr w:type="spellStart"/>
      <w:r>
        <w:rPr>
          <w:rFonts w:ascii="Arial" w:hAnsi="Arial" w:cs="Arial"/>
          <w:color w:val="000000"/>
          <w:sz w:val="20"/>
          <w:szCs w:val="20"/>
        </w:rPr>
        <w:t>Usha</w:t>
      </w:r>
      <w:proofErr w:type="spellEnd"/>
      <w:r>
        <w:rPr>
          <w:rFonts w:ascii="Arial" w:hAnsi="Arial" w:cs="Arial"/>
          <w:color w:val="000000"/>
          <w:sz w:val="20"/>
          <w:szCs w:val="20"/>
        </w:rPr>
        <w:t xml:space="preserve"> </w:t>
      </w:r>
      <w:proofErr w:type="spellStart"/>
      <w:r>
        <w:rPr>
          <w:rFonts w:ascii="Arial" w:hAnsi="Arial" w:cs="Arial"/>
          <w:color w:val="000000"/>
          <w:sz w:val="20"/>
          <w:szCs w:val="20"/>
        </w:rPr>
        <w:t>Janakiraman</w:t>
      </w:r>
      <w:proofErr w:type="spellEnd"/>
      <w:r>
        <w:rPr>
          <w:rFonts w:ascii="Arial" w:hAnsi="Arial" w:cs="Arial"/>
          <w:color w:val="000000"/>
          <w:sz w:val="20"/>
          <w:szCs w:val="20"/>
        </w:rPr>
        <w:t>)</w:t>
      </w:r>
      <w:r>
        <w:rPr>
          <w:rFonts w:ascii="Arial" w:hAnsi="Arial" w:cs="Arial"/>
          <w:color w:val="000000"/>
          <w:sz w:val="20"/>
          <w:szCs w:val="20"/>
        </w:rPr>
        <w:br/>
        <w:t>Chief General Manager</w:t>
      </w:r>
    </w:p>
    <w:p w:rsidR="00C96881" w:rsidRDefault="00C96881" w:rsidP="00C96881">
      <w:pPr>
        <w:rPr>
          <w:rFonts w:ascii="Arial" w:hAnsi="Arial" w:cs="Arial"/>
          <w:sz w:val="20"/>
          <w:szCs w:val="20"/>
        </w:rPr>
      </w:pPr>
    </w:p>
    <w:p w:rsidR="00C96881" w:rsidRDefault="00C96881" w:rsidP="00C96881">
      <w:pPr>
        <w:rPr>
          <w:rFonts w:ascii="Arial" w:hAnsi="Arial" w:cs="Arial"/>
          <w:sz w:val="20"/>
          <w:szCs w:val="20"/>
        </w:rPr>
      </w:pPr>
    </w:p>
    <w:p w:rsidR="00C96881" w:rsidRDefault="00C96881" w:rsidP="00C96881">
      <w:r>
        <w:t>More details can be referred to in the below link.</w:t>
      </w:r>
    </w:p>
    <w:p w:rsidR="00C96881" w:rsidRDefault="00C96881" w:rsidP="00C96881">
      <w:pPr>
        <w:rPr>
          <w:rFonts w:ascii="Arial" w:hAnsi="Arial" w:cs="Arial"/>
          <w:bCs/>
          <w:color w:val="000000"/>
          <w:sz w:val="20"/>
          <w:szCs w:val="20"/>
        </w:rPr>
      </w:pPr>
      <w:r>
        <w:rPr>
          <w:rFonts w:ascii="Arial" w:hAnsi="Arial" w:cs="Arial"/>
          <w:bCs/>
          <w:color w:val="000000"/>
          <w:sz w:val="20"/>
          <w:szCs w:val="20"/>
        </w:rPr>
        <w:t xml:space="preserve">Reference Link: </w:t>
      </w:r>
      <w:hyperlink r:id="rId158" w:history="1">
        <w:r w:rsidRPr="009A1791">
          <w:rPr>
            <w:rStyle w:val="Hyperlink"/>
            <w:rFonts w:ascii="Arial" w:hAnsi="Arial" w:cs="Arial"/>
            <w:bCs/>
            <w:sz w:val="20"/>
            <w:szCs w:val="20"/>
          </w:rPr>
          <w:t>https://www.rbi.org.in/scripts/NotificationUser.aspx?Id=12413&amp;Mode=0</w:t>
        </w:r>
      </w:hyperlink>
    </w:p>
    <w:p w:rsidR="00C96881" w:rsidRDefault="00C96881" w:rsidP="00C96881">
      <w:pPr>
        <w:rPr>
          <w:rFonts w:ascii="Arial" w:hAnsi="Arial" w:cs="Arial"/>
          <w:sz w:val="20"/>
          <w:szCs w:val="20"/>
        </w:rPr>
      </w:pPr>
    </w:p>
    <w:p w:rsidR="00C96881" w:rsidRDefault="00C96881" w:rsidP="00C96881">
      <w:pPr>
        <w:rPr>
          <w:rFonts w:ascii="Arial" w:hAnsi="Arial" w:cs="Arial"/>
          <w:sz w:val="20"/>
          <w:szCs w:val="20"/>
        </w:rPr>
      </w:pPr>
    </w:p>
    <w:p w:rsidR="00C96881" w:rsidRDefault="00C96881" w:rsidP="00C96881">
      <w:pPr>
        <w:rPr>
          <w:rFonts w:ascii="Arial" w:hAnsi="Arial" w:cs="Arial"/>
          <w:sz w:val="20"/>
          <w:szCs w:val="20"/>
        </w:rPr>
      </w:pPr>
    </w:p>
    <w:p w:rsidR="00C96881" w:rsidRDefault="00C96881" w:rsidP="00C96881">
      <w:pPr>
        <w:rPr>
          <w:rFonts w:ascii="Arial" w:hAnsi="Arial" w:cs="Arial"/>
          <w:sz w:val="20"/>
          <w:szCs w:val="20"/>
        </w:rPr>
      </w:pPr>
    </w:p>
    <w:p w:rsidR="00C96881" w:rsidRDefault="00C96881" w:rsidP="00C96881">
      <w:pPr>
        <w:rPr>
          <w:rFonts w:ascii="Arial" w:hAnsi="Arial" w:cs="Arial"/>
          <w:sz w:val="20"/>
          <w:szCs w:val="20"/>
        </w:rPr>
      </w:pPr>
    </w:p>
    <w:p w:rsidR="00C96881" w:rsidRDefault="00C96881" w:rsidP="00C96881">
      <w:pPr>
        <w:rPr>
          <w:rFonts w:ascii="Arial" w:hAnsi="Arial" w:cs="Arial"/>
          <w:sz w:val="20"/>
          <w:szCs w:val="20"/>
        </w:rPr>
      </w:pPr>
    </w:p>
    <w:p w:rsidR="00C96881" w:rsidRDefault="00C96881" w:rsidP="00C96881">
      <w:pPr>
        <w:rPr>
          <w:rFonts w:ascii="Arial" w:hAnsi="Arial" w:cs="Arial"/>
          <w:sz w:val="20"/>
          <w:szCs w:val="20"/>
        </w:rPr>
      </w:pPr>
    </w:p>
    <w:p w:rsidR="00C96881" w:rsidRDefault="00C96881" w:rsidP="00C96881">
      <w:pPr>
        <w:rPr>
          <w:rFonts w:ascii="Arial" w:hAnsi="Arial" w:cs="Arial"/>
          <w:sz w:val="20"/>
          <w:szCs w:val="20"/>
        </w:rPr>
      </w:pPr>
    </w:p>
    <w:p w:rsidR="00C96881" w:rsidRDefault="00C96881" w:rsidP="0001090D">
      <w:pPr>
        <w:rPr>
          <w:rFonts w:ascii="Arial" w:hAnsi="Arial" w:cs="Arial"/>
          <w:bCs/>
          <w:color w:val="000000"/>
          <w:sz w:val="20"/>
          <w:szCs w:val="20"/>
        </w:rPr>
      </w:pPr>
    </w:p>
    <w:p w:rsidR="00C96881" w:rsidRDefault="00C96881" w:rsidP="00C96881">
      <w:pPr>
        <w:spacing w:after="0"/>
        <w:rPr>
          <w:rFonts w:ascii="Arial" w:hAnsi="Arial" w:cs="Arial"/>
          <w:b/>
          <w:bCs/>
          <w:color w:val="000000"/>
          <w:sz w:val="20"/>
          <w:szCs w:val="20"/>
        </w:rPr>
      </w:pPr>
      <w:r>
        <w:rPr>
          <w:rFonts w:ascii="Arial" w:hAnsi="Arial" w:cs="Arial"/>
          <w:b/>
          <w:bCs/>
          <w:color w:val="000000"/>
          <w:sz w:val="20"/>
          <w:szCs w:val="20"/>
        </w:rPr>
        <w:t>Notification of Significant Benchmark</w:t>
      </w:r>
    </w:p>
    <w:p w:rsidR="00C96881" w:rsidRDefault="00C96881" w:rsidP="00C96881">
      <w:pPr>
        <w:pStyle w:val="NormalWeb"/>
        <w:jc w:val="both"/>
        <w:rPr>
          <w:rFonts w:ascii="Arial" w:hAnsi="Arial" w:cs="Arial"/>
          <w:color w:val="000000"/>
          <w:sz w:val="20"/>
          <w:szCs w:val="20"/>
        </w:rPr>
      </w:pPr>
      <w:r>
        <w:rPr>
          <w:rFonts w:ascii="Arial" w:hAnsi="Arial" w:cs="Arial"/>
          <w:color w:val="000000"/>
          <w:sz w:val="20"/>
          <w:szCs w:val="20"/>
        </w:rPr>
        <w:t>RBI/2022-23/142</w:t>
      </w:r>
      <w:r>
        <w:rPr>
          <w:rFonts w:ascii="Arial" w:hAnsi="Arial" w:cs="Arial"/>
          <w:color w:val="000000"/>
          <w:sz w:val="20"/>
          <w:szCs w:val="20"/>
        </w:rPr>
        <w:br/>
        <w:t>FMRD.FMSD.06/03.07.25/2022-23</w:t>
      </w:r>
    </w:p>
    <w:p w:rsidR="00C96881" w:rsidRDefault="00C96881" w:rsidP="00C96881">
      <w:pPr>
        <w:pStyle w:val="NormalWeb"/>
        <w:jc w:val="right"/>
        <w:rPr>
          <w:rFonts w:ascii="Arial" w:hAnsi="Arial" w:cs="Arial"/>
          <w:color w:val="000000"/>
          <w:sz w:val="20"/>
          <w:szCs w:val="20"/>
        </w:rPr>
      </w:pPr>
      <w:r>
        <w:rPr>
          <w:rFonts w:ascii="Arial" w:hAnsi="Arial" w:cs="Arial"/>
          <w:color w:val="000000"/>
          <w:sz w:val="20"/>
          <w:szCs w:val="20"/>
        </w:rPr>
        <w:t>December 01, 2022</w:t>
      </w:r>
    </w:p>
    <w:p w:rsidR="00C96881" w:rsidRDefault="00C96881" w:rsidP="00C96881">
      <w:pPr>
        <w:pStyle w:val="NormalWeb"/>
        <w:spacing w:before="0" w:beforeAutospacing="0" w:after="0" w:afterAutospacing="0"/>
        <w:jc w:val="both"/>
        <w:rPr>
          <w:rFonts w:ascii="Arial" w:hAnsi="Arial" w:cs="Arial"/>
          <w:color w:val="000000"/>
          <w:sz w:val="20"/>
          <w:szCs w:val="20"/>
        </w:rPr>
      </w:pPr>
      <w:r>
        <w:rPr>
          <w:rFonts w:ascii="Arial" w:hAnsi="Arial" w:cs="Arial"/>
          <w:color w:val="000000"/>
          <w:sz w:val="20"/>
          <w:szCs w:val="20"/>
        </w:rPr>
        <w:t>To</w:t>
      </w:r>
    </w:p>
    <w:p w:rsidR="00C96881" w:rsidRDefault="00C96881" w:rsidP="00C96881">
      <w:pPr>
        <w:pStyle w:val="NormalWeb"/>
        <w:spacing w:before="0" w:beforeAutospacing="0" w:after="0" w:afterAutospacing="0"/>
        <w:jc w:val="both"/>
        <w:rPr>
          <w:rFonts w:ascii="Arial" w:hAnsi="Arial" w:cs="Arial"/>
          <w:color w:val="000000"/>
          <w:sz w:val="20"/>
          <w:szCs w:val="20"/>
        </w:rPr>
      </w:pPr>
      <w:r>
        <w:rPr>
          <w:rFonts w:ascii="Arial" w:hAnsi="Arial" w:cs="Arial"/>
          <w:color w:val="000000"/>
          <w:sz w:val="20"/>
          <w:szCs w:val="20"/>
        </w:rPr>
        <w:t>All the Financial Benchmark Administrators</w:t>
      </w:r>
    </w:p>
    <w:p w:rsidR="00C96881" w:rsidRDefault="00C96881" w:rsidP="00C96881">
      <w:pPr>
        <w:pStyle w:val="NormalWeb"/>
        <w:spacing w:before="0" w:beforeAutospacing="0" w:after="0" w:afterAutospacing="0"/>
        <w:jc w:val="both"/>
        <w:rPr>
          <w:rFonts w:ascii="Arial" w:hAnsi="Arial" w:cs="Arial"/>
          <w:color w:val="000000"/>
          <w:sz w:val="20"/>
          <w:szCs w:val="20"/>
        </w:rPr>
      </w:pPr>
      <w:r>
        <w:rPr>
          <w:rFonts w:ascii="Arial" w:hAnsi="Arial" w:cs="Arial"/>
          <w:color w:val="000000"/>
          <w:sz w:val="20"/>
          <w:szCs w:val="20"/>
        </w:rPr>
        <w:t>Madam/Sir</w:t>
      </w:r>
    </w:p>
    <w:p w:rsidR="00C96881" w:rsidRDefault="00C96881" w:rsidP="00C96881">
      <w:pPr>
        <w:pStyle w:val="head"/>
        <w:jc w:val="center"/>
        <w:rPr>
          <w:rFonts w:ascii="Arial" w:hAnsi="Arial" w:cs="Arial"/>
          <w:b/>
          <w:bCs/>
          <w:color w:val="000000"/>
          <w:sz w:val="20"/>
          <w:szCs w:val="20"/>
        </w:rPr>
      </w:pPr>
      <w:r>
        <w:rPr>
          <w:rFonts w:ascii="Arial" w:hAnsi="Arial" w:cs="Arial"/>
          <w:b/>
          <w:bCs/>
          <w:color w:val="000000"/>
          <w:sz w:val="20"/>
          <w:szCs w:val="20"/>
        </w:rPr>
        <w:t>Notification of Significant Benchmark</w:t>
      </w:r>
    </w:p>
    <w:p w:rsidR="00C96881" w:rsidRDefault="00C96881" w:rsidP="00C96881">
      <w:pPr>
        <w:pStyle w:val="NormalWeb"/>
        <w:jc w:val="both"/>
        <w:rPr>
          <w:rFonts w:ascii="Arial" w:hAnsi="Arial" w:cs="Arial"/>
          <w:color w:val="000000"/>
          <w:sz w:val="20"/>
          <w:szCs w:val="20"/>
        </w:rPr>
      </w:pPr>
      <w:r>
        <w:rPr>
          <w:rFonts w:ascii="Arial" w:hAnsi="Arial" w:cs="Arial"/>
          <w:color w:val="000000"/>
          <w:sz w:val="20"/>
          <w:szCs w:val="20"/>
        </w:rPr>
        <w:t>Please refer to the </w:t>
      </w:r>
      <w:hyperlink r:id="rId159" w:tgtFrame="_blank" w:history="1">
        <w:r>
          <w:rPr>
            <w:rStyle w:val="Hyperlink"/>
            <w:rFonts w:ascii="Arial" w:hAnsi="Arial" w:cs="Arial"/>
            <w:sz w:val="20"/>
            <w:szCs w:val="20"/>
          </w:rPr>
          <w:t>Financial Benchmark Administrators (Reserve Bank) Directions, 2019 (hereinafter referred to as ‘the Directions’), dated June 26, 2019 </w:t>
        </w:r>
      </w:hyperlink>
      <w:r>
        <w:rPr>
          <w:rFonts w:ascii="Arial" w:hAnsi="Arial" w:cs="Arial"/>
          <w:color w:val="000000"/>
          <w:sz w:val="20"/>
          <w:szCs w:val="20"/>
        </w:rPr>
        <w:t>and </w:t>
      </w:r>
      <w:hyperlink r:id="rId160" w:tgtFrame="_blank" w:history="1">
        <w:r>
          <w:rPr>
            <w:rStyle w:val="Hyperlink"/>
            <w:rFonts w:ascii="Arial" w:hAnsi="Arial" w:cs="Arial"/>
            <w:sz w:val="20"/>
            <w:szCs w:val="20"/>
          </w:rPr>
          <w:t>RBI circular dated January 01, 2020</w:t>
        </w:r>
      </w:hyperlink>
      <w:r>
        <w:rPr>
          <w:rFonts w:ascii="Arial" w:hAnsi="Arial" w:cs="Arial"/>
          <w:color w:val="000000"/>
          <w:sz w:val="20"/>
          <w:szCs w:val="20"/>
        </w:rPr>
        <w:t xml:space="preserve">, notifying six financial benchmarks administered by Financial Benchmarks India </w:t>
      </w:r>
      <w:proofErr w:type="spellStart"/>
      <w:r>
        <w:rPr>
          <w:rFonts w:ascii="Arial" w:hAnsi="Arial" w:cs="Arial"/>
          <w:color w:val="000000"/>
          <w:sz w:val="20"/>
          <w:szCs w:val="20"/>
        </w:rPr>
        <w:t>Pvt.</w:t>
      </w:r>
      <w:proofErr w:type="spellEnd"/>
      <w:r>
        <w:rPr>
          <w:rFonts w:ascii="Arial" w:hAnsi="Arial" w:cs="Arial"/>
          <w:color w:val="000000"/>
          <w:sz w:val="20"/>
          <w:szCs w:val="20"/>
        </w:rPr>
        <w:t xml:space="preserve"> Ltd. (FBIL) as ‘significant benchmark’.</w:t>
      </w:r>
    </w:p>
    <w:p w:rsidR="00C96881" w:rsidRDefault="00C96881" w:rsidP="00C96881">
      <w:pPr>
        <w:pStyle w:val="NormalWeb"/>
        <w:jc w:val="both"/>
        <w:rPr>
          <w:rFonts w:ascii="Arial" w:hAnsi="Arial" w:cs="Arial"/>
          <w:color w:val="000000"/>
          <w:sz w:val="20"/>
          <w:szCs w:val="20"/>
        </w:rPr>
      </w:pPr>
      <w:r>
        <w:rPr>
          <w:rFonts w:ascii="Arial" w:hAnsi="Arial" w:cs="Arial"/>
          <w:color w:val="000000"/>
          <w:sz w:val="20"/>
          <w:szCs w:val="20"/>
        </w:rPr>
        <w:t xml:space="preserve">2. In terms of paragraph 3(i) of the Directions, the Reserve Bank hereby notifies Modified Mumbai Interbank Forward Outright Rate (MMIFOR) administered by Financial Benchmarks India </w:t>
      </w:r>
      <w:proofErr w:type="spellStart"/>
      <w:r>
        <w:rPr>
          <w:rFonts w:ascii="Arial" w:hAnsi="Arial" w:cs="Arial"/>
          <w:color w:val="000000"/>
          <w:sz w:val="20"/>
          <w:szCs w:val="20"/>
        </w:rPr>
        <w:t>Pvt.</w:t>
      </w:r>
      <w:proofErr w:type="spellEnd"/>
      <w:r>
        <w:rPr>
          <w:rFonts w:ascii="Arial" w:hAnsi="Arial" w:cs="Arial"/>
          <w:color w:val="000000"/>
          <w:sz w:val="20"/>
          <w:szCs w:val="20"/>
        </w:rPr>
        <w:t xml:space="preserve"> Ltd. (FBIL) as a ‘significant benchmark’.</w:t>
      </w:r>
    </w:p>
    <w:p w:rsidR="00C96881" w:rsidRDefault="00C96881" w:rsidP="00C96881">
      <w:pPr>
        <w:pStyle w:val="NormalWeb"/>
        <w:spacing w:before="0" w:beforeAutospacing="0" w:after="0" w:afterAutospacing="0"/>
        <w:jc w:val="both"/>
        <w:rPr>
          <w:rFonts w:ascii="Arial" w:hAnsi="Arial" w:cs="Arial"/>
          <w:color w:val="000000"/>
          <w:sz w:val="20"/>
          <w:szCs w:val="20"/>
        </w:rPr>
      </w:pPr>
      <w:r>
        <w:rPr>
          <w:rFonts w:ascii="Arial" w:hAnsi="Arial" w:cs="Arial"/>
          <w:color w:val="000000"/>
          <w:sz w:val="20"/>
          <w:szCs w:val="20"/>
        </w:rPr>
        <w:t>3. The updated list of ‘significant benchmarks’ administered by FBIL is given below:</w:t>
      </w:r>
    </w:p>
    <w:p w:rsidR="00C96881" w:rsidRDefault="00C96881" w:rsidP="00C96881">
      <w:pPr>
        <w:pStyle w:val="NormalWeb"/>
        <w:spacing w:before="0" w:beforeAutospacing="0" w:after="0" w:afterAutospacing="0"/>
        <w:jc w:val="both"/>
        <w:rPr>
          <w:rFonts w:ascii="Arial" w:hAnsi="Arial" w:cs="Arial"/>
          <w:color w:val="000000"/>
          <w:sz w:val="20"/>
          <w:szCs w:val="20"/>
        </w:rPr>
      </w:pPr>
      <w:r>
        <w:rPr>
          <w:rFonts w:ascii="Arial" w:hAnsi="Arial" w:cs="Arial"/>
          <w:color w:val="000000"/>
          <w:sz w:val="20"/>
          <w:szCs w:val="20"/>
        </w:rPr>
        <w:t>(i) Overnight Mumbai Interbank Outright Rate (MIBOR)</w:t>
      </w:r>
    </w:p>
    <w:p w:rsidR="00C96881" w:rsidRDefault="00C96881" w:rsidP="00C96881">
      <w:pPr>
        <w:pStyle w:val="NormalWeb"/>
        <w:spacing w:before="0" w:beforeAutospacing="0" w:after="0" w:afterAutospacing="0"/>
        <w:jc w:val="both"/>
        <w:rPr>
          <w:rFonts w:ascii="Arial" w:hAnsi="Arial" w:cs="Arial"/>
          <w:color w:val="000000"/>
          <w:sz w:val="20"/>
          <w:szCs w:val="20"/>
        </w:rPr>
      </w:pPr>
      <w:r>
        <w:rPr>
          <w:rFonts w:ascii="Arial" w:hAnsi="Arial" w:cs="Arial"/>
          <w:color w:val="000000"/>
          <w:sz w:val="20"/>
          <w:szCs w:val="20"/>
        </w:rPr>
        <w:t>(ii) Mumbai Interbank Forward Outright Rate (MIFOR)</w:t>
      </w:r>
    </w:p>
    <w:p w:rsidR="00C96881" w:rsidRDefault="00C96881" w:rsidP="00C96881">
      <w:pPr>
        <w:pStyle w:val="NormalWeb"/>
        <w:spacing w:before="0" w:beforeAutospacing="0" w:after="0" w:afterAutospacing="0"/>
        <w:jc w:val="both"/>
        <w:rPr>
          <w:rFonts w:ascii="Arial" w:hAnsi="Arial" w:cs="Arial"/>
          <w:color w:val="000000"/>
          <w:sz w:val="20"/>
          <w:szCs w:val="20"/>
        </w:rPr>
      </w:pPr>
      <w:r>
        <w:rPr>
          <w:rFonts w:ascii="Arial" w:hAnsi="Arial" w:cs="Arial"/>
          <w:color w:val="000000"/>
          <w:sz w:val="20"/>
          <w:szCs w:val="20"/>
        </w:rPr>
        <w:t>(iii) USD/INR Reference Rate</w:t>
      </w:r>
    </w:p>
    <w:p w:rsidR="00C96881" w:rsidRDefault="00C96881" w:rsidP="00C96881">
      <w:pPr>
        <w:pStyle w:val="NormalWeb"/>
        <w:spacing w:before="0" w:beforeAutospacing="0" w:after="0" w:afterAutospacing="0"/>
        <w:jc w:val="both"/>
        <w:rPr>
          <w:rFonts w:ascii="Arial" w:hAnsi="Arial" w:cs="Arial"/>
          <w:color w:val="000000"/>
          <w:sz w:val="20"/>
          <w:szCs w:val="20"/>
        </w:rPr>
      </w:pPr>
      <w:r>
        <w:rPr>
          <w:rFonts w:ascii="Arial" w:hAnsi="Arial" w:cs="Arial"/>
          <w:color w:val="000000"/>
          <w:sz w:val="20"/>
          <w:szCs w:val="20"/>
        </w:rPr>
        <w:t>(iv) Treasury Bill Rates</w:t>
      </w:r>
    </w:p>
    <w:p w:rsidR="00C96881" w:rsidRDefault="00C96881" w:rsidP="00C96881">
      <w:pPr>
        <w:pStyle w:val="NormalWeb"/>
        <w:spacing w:before="0" w:beforeAutospacing="0" w:after="0" w:afterAutospacing="0"/>
        <w:jc w:val="both"/>
        <w:rPr>
          <w:rFonts w:ascii="Arial" w:hAnsi="Arial" w:cs="Arial"/>
          <w:color w:val="000000"/>
          <w:sz w:val="20"/>
          <w:szCs w:val="20"/>
        </w:rPr>
      </w:pPr>
      <w:r>
        <w:rPr>
          <w:rFonts w:ascii="Arial" w:hAnsi="Arial" w:cs="Arial"/>
          <w:color w:val="000000"/>
          <w:sz w:val="20"/>
          <w:szCs w:val="20"/>
        </w:rPr>
        <w:t>(v) Valuation of Government Securities</w:t>
      </w:r>
    </w:p>
    <w:p w:rsidR="00C96881" w:rsidRDefault="00C96881" w:rsidP="00C96881">
      <w:pPr>
        <w:pStyle w:val="NormalWeb"/>
        <w:spacing w:before="0" w:beforeAutospacing="0" w:after="0" w:afterAutospacing="0"/>
        <w:jc w:val="both"/>
        <w:rPr>
          <w:rFonts w:ascii="Arial" w:hAnsi="Arial" w:cs="Arial"/>
          <w:color w:val="000000"/>
          <w:sz w:val="20"/>
          <w:szCs w:val="20"/>
        </w:rPr>
      </w:pPr>
      <w:r>
        <w:rPr>
          <w:rFonts w:ascii="Arial" w:hAnsi="Arial" w:cs="Arial"/>
          <w:color w:val="000000"/>
          <w:sz w:val="20"/>
          <w:szCs w:val="20"/>
        </w:rPr>
        <w:t>(vi) Valuation of State Development Loans (SDL)</w:t>
      </w:r>
    </w:p>
    <w:p w:rsidR="00C96881" w:rsidRDefault="00C96881" w:rsidP="00C96881">
      <w:pPr>
        <w:pStyle w:val="NormalWeb"/>
        <w:spacing w:before="0" w:beforeAutospacing="0" w:after="0" w:afterAutospacing="0"/>
        <w:jc w:val="both"/>
        <w:rPr>
          <w:rFonts w:ascii="Arial" w:hAnsi="Arial" w:cs="Arial"/>
          <w:color w:val="000000"/>
          <w:sz w:val="20"/>
          <w:szCs w:val="20"/>
        </w:rPr>
      </w:pPr>
      <w:r>
        <w:rPr>
          <w:rFonts w:ascii="Arial" w:hAnsi="Arial" w:cs="Arial"/>
          <w:color w:val="000000"/>
          <w:sz w:val="20"/>
          <w:szCs w:val="20"/>
        </w:rPr>
        <w:t>(vii) Modified Mumbai Interbank Forward Outright Rate (MMIFOR)</w:t>
      </w:r>
    </w:p>
    <w:p w:rsidR="00C96881" w:rsidRDefault="00C96881" w:rsidP="00C96881">
      <w:pPr>
        <w:pStyle w:val="NormalWeb"/>
        <w:jc w:val="both"/>
        <w:rPr>
          <w:rFonts w:ascii="Arial" w:hAnsi="Arial" w:cs="Arial"/>
          <w:color w:val="000000"/>
          <w:sz w:val="20"/>
          <w:szCs w:val="20"/>
        </w:rPr>
      </w:pPr>
      <w:r>
        <w:rPr>
          <w:rFonts w:ascii="Arial" w:hAnsi="Arial" w:cs="Arial"/>
          <w:color w:val="000000"/>
          <w:sz w:val="20"/>
          <w:szCs w:val="20"/>
        </w:rPr>
        <w:t>4. Further, in terms of paragraph 3(ii) of the Directions, the person administering the ‘significant benchmark’, shall make an application to the Reserve Bank within a period of three months from the date of this notification for authorization to continue administering MMIFOR.</w:t>
      </w:r>
    </w:p>
    <w:p w:rsidR="00C96881" w:rsidRDefault="00C96881" w:rsidP="00C96881">
      <w:pPr>
        <w:pStyle w:val="NormalWeb"/>
        <w:jc w:val="both"/>
        <w:rPr>
          <w:rFonts w:ascii="Arial" w:hAnsi="Arial" w:cs="Arial"/>
          <w:color w:val="000000"/>
          <w:sz w:val="20"/>
          <w:szCs w:val="20"/>
        </w:rPr>
      </w:pPr>
      <w:r>
        <w:rPr>
          <w:rFonts w:ascii="Arial" w:hAnsi="Arial" w:cs="Arial"/>
          <w:color w:val="000000"/>
          <w:sz w:val="20"/>
          <w:szCs w:val="20"/>
        </w:rPr>
        <w:t>5. The MIFOR, administered by FBIL, shall continue to remain a ‘significant benchmark’ till further notice.</w:t>
      </w:r>
    </w:p>
    <w:p w:rsidR="00C96881" w:rsidRDefault="00C96881" w:rsidP="00C96881">
      <w:pPr>
        <w:pStyle w:val="NormalWeb"/>
        <w:jc w:val="both"/>
        <w:rPr>
          <w:rFonts w:ascii="Arial" w:hAnsi="Arial" w:cs="Arial"/>
          <w:color w:val="000000"/>
          <w:sz w:val="20"/>
          <w:szCs w:val="20"/>
        </w:rPr>
      </w:pPr>
      <w:r>
        <w:rPr>
          <w:rFonts w:ascii="Arial" w:hAnsi="Arial" w:cs="Arial"/>
          <w:color w:val="000000"/>
          <w:sz w:val="20"/>
          <w:szCs w:val="20"/>
        </w:rPr>
        <w:t>6. This notification has been issued by the Reserve Bank as required under the </w:t>
      </w:r>
      <w:hyperlink r:id="rId161" w:tgtFrame="_blank" w:history="1">
        <w:r>
          <w:rPr>
            <w:rStyle w:val="Hyperlink"/>
            <w:rFonts w:ascii="Arial" w:hAnsi="Arial" w:cs="Arial"/>
            <w:sz w:val="20"/>
            <w:szCs w:val="20"/>
          </w:rPr>
          <w:t>Financial Benchmark Administrators (Reserve Bank) Directions, 2019, dated June 26, 2019</w:t>
        </w:r>
      </w:hyperlink>
      <w:r>
        <w:rPr>
          <w:rFonts w:ascii="Arial" w:hAnsi="Arial" w:cs="Arial"/>
          <w:color w:val="000000"/>
          <w:sz w:val="20"/>
          <w:szCs w:val="20"/>
        </w:rPr>
        <w:t>.</w:t>
      </w:r>
    </w:p>
    <w:p w:rsidR="00C96881" w:rsidRDefault="00C96881" w:rsidP="00C96881">
      <w:pPr>
        <w:pStyle w:val="NormalWeb"/>
        <w:spacing w:after="0" w:afterAutospacing="0"/>
        <w:rPr>
          <w:rFonts w:ascii="Arial" w:hAnsi="Arial" w:cs="Arial"/>
          <w:color w:val="000000"/>
          <w:sz w:val="20"/>
          <w:szCs w:val="20"/>
        </w:rPr>
      </w:pPr>
      <w:r>
        <w:rPr>
          <w:rFonts w:ascii="Arial" w:hAnsi="Arial" w:cs="Arial"/>
          <w:color w:val="000000"/>
          <w:sz w:val="20"/>
          <w:szCs w:val="20"/>
        </w:rPr>
        <w:t>Yours faithfully,</w:t>
      </w:r>
    </w:p>
    <w:p w:rsidR="00C96881" w:rsidRPr="00F81595" w:rsidRDefault="00C96881" w:rsidP="00C96881">
      <w:pPr>
        <w:pStyle w:val="NormalWeb"/>
        <w:rPr>
          <w:rFonts w:ascii="Arial" w:hAnsi="Arial" w:cs="Arial"/>
          <w:color w:val="000000"/>
          <w:sz w:val="20"/>
          <w:szCs w:val="20"/>
        </w:rPr>
      </w:pPr>
      <w:r>
        <w:rPr>
          <w:rFonts w:ascii="Arial" w:hAnsi="Arial" w:cs="Arial"/>
          <w:color w:val="000000"/>
          <w:sz w:val="20"/>
          <w:szCs w:val="20"/>
        </w:rPr>
        <w:t xml:space="preserve">(Dimple </w:t>
      </w:r>
      <w:proofErr w:type="spellStart"/>
      <w:r>
        <w:rPr>
          <w:rFonts w:ascii="Arial" w:hAnsi="Arial" w:cs="Arial"/>
          <w:color w:val="000000"/>
          <w:sz w:val="20"/>
          <w:szCs w:val="20"/>
        </w:rPr>
        <w:t>Bhandia</w:t>
      </w:r>
      <w:proofErr w:type="spellEnd"/>
      <w:r>
        <w:rPr>
          <w:rFonts w:ascii="Arial" w:hAnsi="Arial" w:cs="Arial"/>
          <w:color w:val="000000"/>
          <w:sz w:val="20"/>
          <w:szCs w:val="20"/>
        </w:rPr>
        <w:t>)</w:t>
      </w:r>
      <w:r>
        <w:rPr>
          <w:rFonts w:ascii="Arial" w:hAnsi="Arial" w:cs="Arial"/>
          <w:color w:val="000000"/>
          <w:sz w:val="20"/>
          <w:szCs w:val="20"/>
        </w:rPr>
        <w:br/>
        <w:t>Chief General Manager</w:t>
      </w:r>
    </w:p>
    <w:p w:rsidR="00C96881" w:rsidRDefault="00C96881" w:rsidP="00C96881">
      <w:pPr>
        <w:spacing w:after="0"/>
        <w:rPr>
          <w:rFonts w:ascii="Arial" w:hAnsi="Arial" w:cs="Arial"/>
          <w:sz w:val="20"/>
          <w:szCs w:val="20"/>
        </w:rPr>
      </w:pPr>
    </w:p>
    <w:p w:rsidR="00C96881" w:rsidRPr="00435B25" w:rsidRDefault="00C96881" w:rsidP="00C96881">
      <w:pPr>
        <w:spacing w:after="0"/>
        <w:rPr>
          <w:rFonts w:ascii="Arial" w:hAnsi="Arial" w:cs="Arial"/>
          <w:sz w:val="20"/>
          <w:szCs w:val="20"/>
        </w:rPr>
      </w:pPr>
      <w:r w:rsidRPr="00435B25">
        <w:rPr>
          <w:rFonts w:ascii="Arial" w:hAnsi="Arial" w:cs="Arial"/>
          <w:sz w:val="20"/>
          <w:szCs w:val="20"/>
        </w:rPr>
        <w:t>More details can be referred to in the below link.</w:t>
      </w:r>
    </w:p>
    <w:p w:rsidR="00C96881" w:rsidRDefault="00C96881" w:rsidP="00C96881">
      <w:pPr>
        <w:spacing w:after="0"/>
        <w:rPr>
          <w:rFonts w:ascii="Arial" w:hAnsi="Arial" w:cs="Arial"/>
          <w:sz w:val="20"/>
          <w:szCs w:val="20"/>
        </w:rPr>
      </w:pPr>
      <w:r w:rsidRPr="00435B25">
        <w:rPr>
          <w:rFonts w:ascii="Arial" w:hAnsi="Arial" w:cs="Arial"/>
          <w:sz w:val="20"/>
          <w:szCs w:val="20"/>
        </w:rPr>
        <w:t>Reference Link:</w:t>
      </w:r>
      <w:r>
        <w:rPr>
          <w:rFonts w:ascii="Arial" w:hAnsi="Arial" w:cs="Arial"/>
          <w:sz w:val="20"/>
          <w:szCs w:val="20"/>
        </w:rPr>
        <w:t xml:space="preserve"> </w:t>
      </w:r>
      <w:hyperlink r:id="rId162" w:anchor=":~:text=(FBIL)%20as%20a%20'significant%20benchmark'.&amp;text=4.,authorization%20to%20continue%20administering%20MMIFOR" w:history="1">
        <w:r w:rsidRPr="00200311">
          <w:rPr>
            <w:rStyle w:val="Hyperlink"/>
            <w:rFonts w:ascii="Arial" w:hAnsi="Arial" w:cs="Arial"/>
            <w:sz w:val="20"/>
            <w:szCs w:val="20"/>
          </w:rPr>
          <w:t>https://m.rbi.org.in/scripts/FS_Notification.aspx?Id=12414&amp;fn=6&amp;Mode=0#:~:text=(FBIL)%20as%20a%20'significant%20benchmark'.&amp;text=4.,authorization%20to%20continue%20administering%20MMIFOR</w:t>
        </w:r>
      </w:hyperlink>
      <w:r w:rsidRPr="005A38FC">
        <w:rPr>
          <w:rFonts w:ascii="Arial" w:hAnsi="Arial" w:cs="Arial"/>
          <w:sz w:val="20"/>
          <w:szCs w:val="20"/>
        </w:rPr>
        <w:t>.</w:t>
      </w:r>
    </w:p>
    <w:p w:rsidR="00C96881" w:rsidRDefault="00C96881" w:rsidP="00C96881">
      <w:pPr>
        <w:spacing w:after="0"/>
        <w:rPr>
          <w:rFonts w:ascii="Arial" w:hAnsi="Arial" w:cs="Arial"/>
          <w:b/>
          <w:bCs/>
          <w:color w:val="000000"/>
          <w:sz w:val="20"/>
          <w:szCs w:val="20"/>
        </w:rPr>
      </w:pPr>
    </w:p>
    <w:p w:rsidR="00C96881" w:rsidRDefault="00C96881" w:rsidP="00C96881">
      <w:pPr>
        <w:spacing w:after="0"/>
        <w:rPr>
          <w:rFonts w:ascii="Arial" w:hAnsi="Arial" w:cs="Arial"/>
          <w:b/>
          <w:bCs/>
          <w:color w:val="000000"/>
          <w:sz w:val="20"/>
          <w:szCs w:val="20"/>
        </w:rPr>
      </w:pPr>
    </w:p>
    <w:p w:rsidR="00C96881" w:rsidRDefault="00C96881" w:rsidP="0001090D">
      <w:pPr>
        <w:rPr>
          <w:rFonts w:ascii="Arial" w:hAnsi="Arial" w:cs="Arial"/>
          <w:bCs/>
          <w:color w:val="000000"/>
          <w:sz w:val="20"/>
          <w:szCs w:val="20"/>
        </w:rPr>
      </w:pPr>
    </w:p>
    <w:p w:rsidR="00C96881" w:rsidRDefault="00C96881" w:rsidP="0001090D">
      <w:pPr>
        <w:rPr>
          <w:rFonts w:ascii="Arial" w:hAnsi="Arial" w:cs="Arial"/>
          <w:bCs/>
          <w:color w:val="000000"/>
          <w:sz w:val="20"/>
          <w:szCs w:val="20"/>
        </w:rPr>
      </w:pPr>
    </w:p>
    <w:p w:rsidR="00C96881" w:rsidRDefault="00C96881" w:rsidP="00C96881">
      <w:pPr>
        <w:rPr>
          <w:rFonts w:ascii="Arial" w:hAnsi="Arial" w:cs="Arial"/>
          <w:b/>
          <w:bCs/>
          <w:color w:val="000000"/>
          <w:sz w:val="20"/>
          <w:szCs w:val="20"/>
        </w:rPr>
      </w:pPr>
      <w:r>
        <w:rPr>
          <w:rFonts w:ascii="Arial" w:hAnsi="Arial" w:cs="Arial"/>
          <w:b/>
          <w:bCs/>
          <w:color w:val="000000"/>
          <w:sz w:val="20"/>
          <w:szCs w:val="20"/>
        </w:rPr>
        <w:t>Review of norms for classification of Urban Co-operative Banks (UCBs) as Financially Sound and Well Managed (FSWM)</w:t>
      </w:r>
    </w:p>
    <w:p w:rsidR="00C96881" w:rsidRDefault="00C96881" w:rsidP="00C96881">
      <w:pPr>
        <w:pStyle w:val="NormalWeb"/>
        <w:jc w:val="both"/>
        <w:rPr>
          <w:rFonts w:ascii="Arial" w:hAnsi="Arial" w:cs="Arial"/>
          <w:color w:val="000000"/>
          <w:sz w:val="20"/>
          <w:szCs w:val="20"/>
        </w:rPr>
      </w:pPr>
      <w:r>
        <w:rPr>
          <w:rFonts w:ascii="Arial" w:hAnsi="Arial" w:cs="Arial"/>
          <w:color w:val="000000"/>
          <w:sz w:val="20"/>
          <w:szCs w:val="20"/>
        </w:rPr>
        <w:t>RBI/2022-23/143</w:t>
      </w:r>
      <w:r>
        <w:rPr>
          <w:rFonts w:ascii="Arial" w:hAnsi="Arial" w:cs="Arial"/>
          <w:color w:val="000000"/>
          <w:sz w:val="20"/>
          <w:szCs w:val="20"/>
        </w:rPr>
        <w:br/>
        <w:t>DOR.REG.No.85/07.01.000/2022-23</w:t>
      </w:r>
    </w:p>
    <w:p w:rsidR="00C96881" w:rsidRDefault="00C96881" w:rsidP="00C96881">
      <w:pPr>
        <w:pStyle w:val="NormalWeb"/>
        <w:jc w:val="right"/>
        <w:rPr>
          <w:rFonts w:ascii="Arial" w:hAnsi="Arial" w:cs="Arial"/>
          <w:color w:val="000000"/>
          <w:sz w:val="20"/>
          <w:szCs w:val="20"/>
        </w:rPr>
      </w:pPr>
      <w:r>
        <w:rPr>
          <w:rFonts w:ascii="Arial" w:hAnsi="Arial" w:cs="Arial"/>
          <w:color w:val="000000"/>
          <w:sz w:val="20"/>
          <w:szCs w:val="20"/>
        </w:rPr>
        <w:t>December 01, 2022</w:t>
      </w:r>
    </w:p>
    <w:p w:rsidR="00C96881" w:rsidRDefault="00C96881" w:rsidP="00C96881">
      <w:pPr>
        <w:pStyle w:val="NormalWeb"/>
        <w:jc w:val="both"/>
        <w:rPr>
          <w:rFonts w:ascii="Arial" w:hAnsi="Arial" w:cs="Arial"/>
          <w:color w:val="000000"/>
          <w:sz w:val="20"/>
          <w:szCs w:val="20"/>
        </w:rPr>
      </w:pPr>
      <w:r>
        <w:rPr>
          <w:rFonts w:ascii="Arial" w:hAnsi="Arial" w:cs="Arial"/>
          <w:color w:val="000000"/>
          <w:sz w:val="20"/>
          <w:szCs w:val="20"/>
        </w:rPr>
        <w:t>Madam / Sir</w:t>
      </w:r>
    </w:p>
    <w:p w:rsidR="00C96881" w:rsidRDefault="00C96881" w:rsidP="00C96881">
      <w:pPr>
        <w:pStyle w:val="head"/>
        <w:jc w:val="both"/>
        <w:rPr>
          <w:rFonts w:ascii="Arial" w:hAnsi="Arial" w:cs="Arial"/>
          <w:b/>
          <w:bCs/>
          <w:color w:val="000000"/>
          <w:sz w:val="20"/>
          <w:szCs w:val="20"/>
        </w:rPr>
      </w:pPr>
      <w:r>
        <w:rPr>
          <w:rFonts w:ascii="Arial" w:hAnsi="Arial" w:cs="Arial"/>
          <w:b/>
          <w:bCs/>
          <w:color w:val="000000"/>
          <w:sz w:val="20"/>
          <w:szCs w:val="20"/>
        </w:rPr>
        <w:t>Review of norms for classification of Urban Co-operative Banks (UCBs) as Financially Sound and Well Managed (FSWM)</w:t>
      </w:r>
    </w:p>
    <w:p w:rsidR="00C96881" w:rsidRDefault="00C96881" w:rsidP="00C96881">
      <w:pPr>
        <w:pStyle w:val="NormalWeb"/>
        <w:jc w:val="both"/>
        <w:rPr>
          <w:rFonts w:ascii="Arial" w:hAnsi="Arial" w:cs="Arial"/>
          <w:color w:val="000000"/>
          <w:sz w:val="20"/>
          <w:szCs w:val="20"/>
        </w:rPr>
      </w:pPr>
      <w:r>
        <w:rPr>
          <w:rFonts w:ascii="Arial" w:hAnsi="Arial" w:cs="Arial"/>
          <w:color w:val="000000"/>
          <w:sz w:val="20"/>
          <w:szCs w:val="20"/>
        </w:rPr>
        <w:t xml:space="preserve">In order to ensure a financially sound and stable co-operative sector, select UCBs are termed as Financially Sound and Well Managed (FSWM) subject to </w:t>
      </w:r>
      <w:proofErr w:type="spellStart"/>
      <w:r>
        <w:rPr>
          <w:rFonts w:ascii="Arial" w:hAnsi="Arial" w:cs="Arial"/>
          <w:color w:val="000000"/>
          <w:sz w:val="20"/>
          <w:szCs w:val="20"/>
        </w:rPr>
        <w:t>fulfillment</w:t>
      </w:r>
      <w:proofErr w:type="spellEnd"/>
      <w:r>
        <w:rPr>
          <w:rFonts w:ascii="Arial" w:hAnsi="Arial" w:cs="Arial"/>
          <w:color w:val="000000"/>
          <w:sz w:val="20"/>
          <w:szCs w:val="20"/>
        </w:rPr>
        <w:t xml:space="preserve"> of certain parameters. In this context, a reference is made to our </w:t>
      </w:r>
      <w:hyperlink r:id="rId163" w:tgtFrame="_blank" w:history="1">
        <w:r>
          <w:rPr>
            <w:rStyle w:val="Hyperlink"/>
            <w:rFonts w:ascii="Arial" w:hAnsi="Arial" w:cs="Arial"/>
            <w:sz w:val="20"/>
            <w:szCs w:val="20"/>
          </w:rPr>
          <w:t>circular DCBR.CO.LS (PCB) Cir.No.4/07.01.000/2014-15 dated January 28, 2015</w:t>
        </w:r>
      </w:hyperlink>
      <w:r>
        <w:rPr>
          <w:rFonts w:ascii="Arial" w:hAnsi="Arial" w:cs="Arial"/>
          <w:color w:val="000000"/>
          <w:sz w:val="20"/>
          <w:szCs w:val="20"/>
        </w:rPr>
        <w:t> on “Review of norms for classification of Urban Co-operative Banks (UCBs) as Financially Sound and Well Managed (FSWM)” for criteria prescribed for considering the UCBs as FSWM.</w:t>
      </w:r>
    </w:p>
    <w:p w:rsidR="00C96881" w:rsidRDefault="00C96881" w:rsidP="00C96881">
      <w:pPr>
        <w:pStyle w:val="NormalWeb"/>
        <w:jc w:val="both"/>
        <w:rPr>
          <w:rFonts w:ascii="Arial" w:hAnsi="Arial" w:cs="Arial"/>
          <w:color w:val="000000"/>
          <w:sz w:val="20"/>
          <w:szCs w:val="20"/>
        </w:rPr>
      </w:pPr>
      <w:r>
        <w:rPr>
          <w:rFonts w:ascii="Arial" w:hAnsi="Arial" w:cs="Arial"/>
          <w:color w:val="000000"/>
          <w:sz w:val="20"/>
          <w:szCs w:val="20"/>
        </w:rPr>
        <w:t>2. It has been decided to revise the criteria for UCBs to be classified as FSWM. The revised criteria in view of </w:t>
      </w:r>
      <w:hyperlink r:id="rId164" w:tgtFrame="_blank" w:history="1">
        <w:r>
          <w:rPr>
            <w:rStyle w:val="Hyperlink"/>
            <w:rFonts w:ascii="Arial" w:hAnsi="Arial" w:cs="Arial"/>
            <w:sz w:val="20"/>
            <w:szCs w:val="20"/>
          </w:rPr>
          <w:t>Revised Regulatory Framework for Urban Co-operative Banks (UCBs) released by RBI on July 19, 2022</w:t>
        </w:r>
      </w:hyperlink>
      <w:r>
        <w:rPr>
          <w:rFonts w:ascii="Arial" w:hAnsi="Arial" w:cs="Arial"/>
          <w:color w:val="000000"/>
          <w:sz w:val="20"/>
          <w:szCs w:val="20"/>
        </w:rPr>
        <w:t> based on the recommendation of the </w:t>
      </w:r>
      <w:hyperlink r:id="rId165" w:tgtFrame="_blank" w:history="1">
        <w:r>
          <w:rPr>
            <w:rStyle w:val="Hyperlink"/>
            <w:rFonts w:ascii="Arial" w:hAnsi="Arial" w:cs="Arial"/>
            <w:sz w:val="20"/>
            <w:szCs w:val="20"/>
          </w:rPr>
          <w:t>Expert Committee on Primary (Urban) Co-operative Banks</w:t>
        </w:r>
      </w:hyperlink>
      <w:r>
        <w:rPr>
          <w:rFonts w:ascii="Arial" w:hAnsi="Arial" w:cs="Arial"/>
          <w:color w:val="000000"/>
          <w:sz w:val="20"/>
          <w:szCs w:val="20"/>
        </w:rPr>
        <w:t> are given in the </w:t>
      </w:r>
      <w:hyperlink r:id="rId166" w:anchor="AN1" w:history="1">
        <w:r>
          <w:rPr>
            <w:rStyle w:val="Hyperlink"/>
            <w:rFonts w:ascii="Arial" w:hAnsi="Arial" w:cs="Arial"/>
            <w:sz w:val="20"/>
            <w:szCs w:val="20"/>
          </w:rPr>
          <w:t>Annex</w:t>
        </w:r>
      </w:hyperlink>
      <w:r>
        <w:rPr>
          <w:rFonts w:ascii="Arial" w:hAnsi="Arial" w:cs="Arial"/>
          <w:color w:val="000000"/>
          <w:sz w:val="20"/>
          <w:szCs w:val="20"/>
        </w:rPr>
        <w:t>.</w:t>
      </w:r>
    </w:p>
    <w:p w:rsidR="00C96881" w:rsidRDefault="00C96881" w:rsidP="00C96881">
      <w:pPr>
        <w:pStyle w:val="NormalWeb"/>
        <w:jc w:val="both"/>
        <w:rPr>
          <w:rFonts w:ascii="Arial" w:hAnsi="Arial" w:cs="Arial"/>
          <w:color w:val="000000"/>
          <w:sz w:val="20"/>
          <w:szCs w:val="20"/>
        </w:rPr>
      </w:pPr>
      <w:r>
        <w:rPr>
          <w:rFonts w:ascii="Arial" w:hAnsi="Arial" w:cs="Arial"/>
          <w:color w:val="000000"/>
          <w:sz w:val="20"/>
          <w:szCs w:val="20"/>
        </w:rPr>
        <w:t>3. Further, the UCBs are now permitted to classify themselves as FSWM based on this revised FSWM criteria.</w:t>
      </w:r>
    </w:p>
    <w:p w:rsidR="00C96881" w:rsidRDefault="00C96881" w:rsidP="00C96881">
      <w:pPr>
        <w:pStyle w:val="head"/>
        <w:jc w:val="both"/>
        <w:rPr>
          <w:rFonts w:ascii="Arial" w:hAnsi="Arial" w:cs="Arial"/>
          <w:b/>
          <w:bCs/>
          <w:color w:val="000000"/>
          <w:sz w:val="20"/>
          <w:szCs w:val="20"/>
        </w:rPr>
      </w:pPr>
      <w:r>
        <w:rPr>
          <w:rFonts w:ascii="Arial" w:hAnsi="Arial" w:cs="Arial"/>
          <w:b/>
          <w:bCs/>
          <w:color w:val="000000"/>
          <w:sz w:val="20"/>
          <w:szCs w:val="20"/>
        </w:rPr>
        <w:t>Commencement</w:t>
      </w:r>
    </w:p>
    <w:p w:rsidR="00C96881" w:rsidRDefault="00C96881" w:rsidP="00C96881">
      <w:pPr>
        <w:pStyle w:val="NormalWeb"/>
        <w:jc w:val="both"/>
        <w:rPr>
          <w:rFonts w:ascii="Arial" w:hAnsi="Arial" w:cs="Arial"/>
          <w:color w:val="000000"/>
          <w:sz w:val="20"/>
          <w:szCs w:val="20"/>
        </w:rPr>
      </w:pPr>
      <w:r>
        <w:rPr>
          <w:rFonts w:ascii="Arial" w:hAnsi="Arial" w:cs="Arial"/>
          <w:color w:val="000000"/>
          <w:sz w:val="20"/>
          <w:szCs w:val="20"/>
        </w:rPr>
        <w:t>4. The revised instructions shall be applicable with immediate effect.</w:t>
      </w:r>
    </w:p>
    <w:p w:rsidR="00C96881" w:rsidRDefault="00C96881" w:rsidP="00C96881">
      <w:pPr>
        <w:pStyle w:val="head"/>
        <w:jc w:val="both"/>
        <w:rPr>
          <w:rFonts w:ascii="Arial" w:hAnsi="Arial" w:cs="Arial"/>
          <w:b/>
          <w:bCs/>
          <w:color w:val="000000"/>
          <w:sz w:val="20"/>
          <w:szCs w:val="20"/>
        </w:rPr>
      </w:pPr>
      <w:r>
        <w:rPr>
          <w:rFonts w:ascii="Arial" w:hAnsi="Arial" w:cs="Arial"/>
          <w:b/>
          <w:bCs/>
          <w:color w:val="000000"/>
          <w:sz w:val="20"/>
          <w:szCs w:val="20"/>
        </w:rPr>
        <w:t>Applicability</w:t>
      </w:r>
    </w:p>
    <w:p w:rsidR="00C96881" w:rsidRDefault="00C96881" w:rsidP="00C96881">
      <w:pPr>
        <w:pStyle w:val="NormalWeb"/>
        <w:jc w:val="both"/>
        <w:rPr>
          <w:rFonts w:ascii="Arial" w:hAnsi="Arial" w:cs="Arial"/>
          <w:color w:val="000000"/>
          <w:sz w:val="20"/>
          <w:szCs w:val="20"/>
        </w:rPr>
      </w:pPr>
      <w:r>
        <w:rPr>
          <w:rFonts w:ascii="Arial" w:hAnsi="Arial" w:cs="Arial"/>
          <w:color w:val="000000"/>
          <w:sz w:val="20"/>
          <w:szCs w:val="20"/>
        </w:rPr>
        <w:t>5. This circular is applicable to all Primary (Urban) Co-operative Banks.</w:t>
      </w:r>
    </w:p>
    <w:p w:rsidR="00C96881" w:rsidRDefault="00C96881" w:rsidP="00C96881">
      <w:pPr>
        <w:pStyle w:val="NormalWeb"/>
        <w:rPr>
          <w:rFonts w:ascii="Arial" w:hAnsi="Arial" w:cs="Arial"/>
          <w:color w:val="000000"/>
          <w:sz w:val="20"/>
          <w:szCs w:val="20"/>
        </w:rPr>
      </w:pPr>
      <w:r>
        <w:rPr>
          <w:rFonts w:ascii="Arial" w:hAnsi="Arial" w:cs="Arial"/>
          <w:color w:val="000000"/>
          <w:sz w:val="20"/>
          <w:szCs w:val="20"/>
        </w:rPr>
        <w:t xml:space="preserve">(Prakash </w:t>
      </w:r>
      <w:proofErr w:type="spellStart"/>
      <w:r>
        <w:rPr>
          <w:rFonts w:ascii="Arial" w:hAnsi="Arial" w:cs="Arial"/>
          <w:color w:val="000000"/>
          <w:sz w:val="20"/>
          <w:szCs w:val="20"/>
        </w:rPr>
        <w:t>Baliarsingh</w:t>
      </w:r>
      <w:proofErr w:type="spellEnd"/>
      <w:r>
        <w:rPr>
          <w:rFonts w:ascii="Arial" w:hAnsi="Arial" w:cs="Arial"/>
          <w:color w:val="000000"/>
          <w:sz w:val="20"/>
          <w:szCs w:val="20"/>
        </w:rPr>
        <w:t>)</w:t>
      </w:r>
      <w:r>
        <w:rPr>
          <w:rFonts w:ascii="Arial" w:hAnsi="Arial" w:cs="Arial"/>
          <w:color w:val="000000"/>
          <w:sz w:val="20"/>
          <w:szCs w:val="20"/>
        </w:rPr>
        <w:br/>
        <w:t>Chief General Manager</w:t>
      </w:r>
    </w:p>
    <w:p w:rsidR="00C96881" w:rsidRDefault="00C96881" w:rsidP="00C96881">
      <w:pPr>
        <w:rPr>
          <w:rFonts w:ascii="Arial" w:hAnsi="Arial" w:cs="Arial"/>
          <w:sz w:val="20"/>
          <w:szCs w:val="20"/>
        </w:rPr>
      </w:pPr>
    </w:p>
    <w:p w:rsidR="00C96881" w:rsidRDefault="00C96881" w:rsidP="00C96881">
      <w:pPr>
        <w:rPr>
          <w:rFonts w:ascii="Arial" w:hAnsi="Arial" w:cs="Arial"/>
          <w:sz w:val="20"/>
          <w:szCs w:val="20"/>
        </w:rPr>
      </w:pPr>
    </w:p>
    <w:p w:rsidR="00C96881" w:rsidRDefault="00C96881" w:rsidP="00C96881">
      <w:pPr>
        <w:rPr>
          <w:rFonts w:ascii="Arial" w:hAnsi="Arial" w:cs="Arial"/>
          <w:sz w:val="20"/>
          <w:szCs w:val="20"/>
        </w:rPr>
      </w:pPr>
    </w:p>
    <w:p w:rsidR="00C96881" w:rsidRDefault="00C96881" w:rsidP="00C96881">
      <w:r>
        <w:t>More details can be referred to in the below link.</w:t>
      </w:r>
    </w:p>
    <w:p w:rsidR="00C96881" w:rsidRDefault="00C96881" w:rsidP="00C96881">
      <w:pPr>
        <w:rPr>
          <w:rFonts w:ascii="Arial" w:hAnsi="Arial" w:cs="Arial"/>
          <w:bCs/>
          <w:color w:val="000000"/>
          <w:sz w:val="20"/>
          <w:szCs w:val="20"/>
        </w:rPr>
      </w:pPr>
      <w:r>
        <w:rPr>
          <w:rFonts w:ascii="Arial" w:hAnsi="Arial" w:cs="Arial"/>
          <w:bCs/>
          <w:color w:val="000000"/>
          <w:sz w:val="20"/>
          <w:szCs w:val="20"/>
        </w:rPr>
        <w:t xml:space="preserve">Reference Link: </w:t>
      </w:r>
      <w:hyperlink r:id="rId167" w:history="1">
        <w:r w:rsidRPr="00735218">
          <w:rPr>
            <w:rStyle w:val="Hyperlink"/>
            <w:rFonts w:ascii="Arial" w:hAnsi="Arial" w:cs="Arial"/>
            <w:bCs/>
            <w:sz w:val="20"/>
            <w:szCs w:val="20"/>
          </w:rPr>
          <w:t>https://www.rbi.org.in/Scripts/NotificationUser.aspx?Id=12415&amp;Mode=0</w:t>
        </w:r>
      </w:hyperlink>
    </w:p>
    <w:p w:rsidR="00C96881" w:rsidRDefault="00C96881" w:rsidP="00C96881">
      <w:pPr>
        <w:rPr>
          <w:rFonts w:ascii="Arial" w:hAnsi="Arial" w:cs="Arial"/>
          <w:bCs/>
          <w:color w:val="000000"/>
          <w:sz w:val="20"/>
          <w:szCs w:val="20"/>
        </w:rPr>
      </w:pPr>
    </w:p>
    <w:p w:rsidR="00C96881" w:rsidRDefault="00C96881" w:rsidP="00C96881">
      <w:pPr>
        <w:rPr>
          <w:rFonts w:ascii="Arial" w:hAnsi="Arial" w:cs="Arial"/>
          <w:bCs/>
          <w:color w:val="000000"/>
          <w:sz w:val="20"/>
          <w:szCs w:val="20"/>
        </w:rPr>
      </w:pPr>
    </w:p>
    <w:p w:rsidR="00C96881" w:rsidRDefault="00C96881" w:rsidP="00C96881">
      <w:pPr>
        <w:rPr>
          <w:rFonts w:ascii="Arial" w:hAnsi="Arial" w:cs="Arial"/>
          <w:bCs/>
          <w:color w:val="000000"/>
          <w:sz w:val="20"/>
          <w:szCs w:val="20"/>
        </w:rPr>
      </w:pPr>
    </w:p>
    <w:p w:rsidR="00C96881" w:rsidRDefault="00C96881" w:rsidP="00C96881">
      <w:pPr>
        <w:rPr>
          <w:rFonts w:ascii="Arial" w:hAnsi="Arial" w:cs="Arial"/>
          <w:bCs/>
          <w:color w:val="000000"/>
          <w:sz w:val="20"/>
          <w:szCs w:val="20"/>
        </w:rPr>
      </w:pPr>
    </w:p>
    <w:p w:rsidR="00C96881" w:rsidRDefault="00C96881" w:rsidP="0001090D">
      <w:pPr>
        <w:rPr>
          <w:rFonts w:ascii="Arial" w:hAnsi="Arial" w:cs="Arial"/>
          <w:bCs/>
          <w:color w:val="000000"/>
          <w:sz w:val="20"/>
          <w:szCs w:val="20"/>
        </w:rPr>
      </w:pPr>
    </w:p>
    <w:p w:rsidR="00C96881" w:rsidRDefault="00C96881" w:rsidP="00C96881">
      <w:pPr>
        <w:rPr>
          <w:rFonts w:ascii="Arial" w:hAnsi="Arial" w:cs="Arial"/>
          <w:b/>
          <w:bCs/>
          <w:color w:val="000000"/>
          <w:sz w:val="20"/>
          <w:szCs w:val="20"/>
        </w:rPr>
      </w:pPr>
      <w:r>
        <w:rPr>
          <w:rFonts w:ascii="Arial" w:hAnsi="Arial" w:cs="Arial"/>
          <w:b/>
          <w:bCs/>
          <w:color w:val="000000"/>
          <w:sz w:val="20"/>
          <w:szCs w:val="20"/>
        </w:rPr>
        <w:t>Revised Regulatory Framework - Categorization of Urban Co-operative Banks (UCBs) for Regulatory Purposes</w:t>
      </w:r>
    </w:p>
    <w:p w:rsidR="00C96881" w:rsidRDefault="00C96881" w:rsidP="00C96881">
      <w:pPr>
        <w:pStyle w:val="NormalWeb"/>
        <w:jc w:val="both"/>
        <w:rPr>
          <w:rFonts w:ascii="Arial" w:hAnsi="Arial" w:cs="Arial"/>
          <w:color w:val="000000"/>
          <w:sz w:val="20"/>
          <w:szCs w:val="20"/>
        </w:rPr>
      </w:pPr>
      <w:r>
        <w:rPr>
          <w:rFonts w:ascii="Arial" w:hAnsi="Arial" w:cs="Arial"/>
          <w:color w:val="000000"/>
          <w:sz w:val="20"/>
          <w:szCs w:val="20"/>
        </w:rPr>
        <w:t>RBI/2022-23/144</w:t>
      </w:r>
      <w:r>
        <w:rPr>
          <w:rFonts w:ascii="Arial" w:hAnsi="Arial" w:cs="Arial"/>
          <w:color w:val="000000"/>
          <w:sz w:val="20"/>
          <w:szCs w:val="20"/>
        </w:rPr>
        <w:br/>
        <w:t>DOR.REG.No.84/07.01.000/2022-23</w:t>
      </w:r>
    </w:p>
    <w:p w:rsidR="00C96881" w:rsidRDefault="00C96881" w:rsidP="00C96881">
      <w:pPr>
        <w:pStyle w:val="NormalWeb"/>
        <w:jc w:val="right"/>
        <w:rPr>
          <w:rFonts w:ascii="Arial" w:hAnsi="Arial" w:cs="Arial"/>
          <w:color w:val="000000"/>
          <w:sz w:val="20"/>
          <w:szCs w:val="20"/>
        </w:rPr>
      </w:pPr>
      <w:r>
        <w:rPr>
          <w:rFonts w:ascii="Arial" w:hAnsi="Arial" w:cs="Arial"/>
          <w:color w:val="000000"/>
          <w:sz w:val="20"/>
          <w:szCs w:val="20"/>
        </w:rPr>
        <w:t>December 01, 2022</w:t>
      </w:r>
    </w:p>
    <w:p w:rsidR="00C96881" w:rsidRDefault="00C96881" w:rsidP="00C96881">
      <w:pPr>
        <w:pStyle w:val="NormalWeb"/>
        <w:jc w:val="both"/>
        <w:rPr>
          <w:rFonts w:ascii="Arial" w:hAnsi="Arial" w:cs="Arial"/>
          <w:color w:val="000000"/>
          <w:sz w:val="20"/>
          <w:szCs w:val="20"/>
        </w:rPr>
      </w:pPr>
      <w:r>
        <w:rPr>
          <w:rFonts w:ascii="Arial" w:hAnsi="Arial" w:cs="Arial"/>
          <w:color w:val="000000"/>
          <w:sz w:val="20"/>
          <w:szCs w:val="20"/>
        </w:rPr>
        <w:t>Madam / Sir</w:t>
      </w:r>
    </w:p>
    <w:p w:rsidR="00C96881" w:rsidRDefault="00C96881" w:rsidP="00C96881">
      <w:pPr>
        <w:pStyle w:val="head"/>
        <w:jc w:val="both"/>
        <w:rPr>
          <w:rFonts w:ascii="Arial" w:hAnsi="Arial" w:cs="Arial"/>
          <w:b/>
          <w:bCs/>
          <w:color w:val="000000"/>
          <w:sz w:val="20"/>
          <w:szCs w:val="20"/>
        </w:rPr>
      </w:pPr>
      <w:r>
        <w:rPr>
          <w:rFonts w:ascii="Arial" w:hAnsi="Arial" w:cs="Arial"/>
          <w:b/>
          <w:bCs/>
          <w:color w:val="000000"/>
          <w:sz w:val="20"/>
          <w:szCs w:val="20"/>
        </w:rPr>
        <w:t>Revised Regulatory Framework - Categorization of Urban Co-operative Banks (UCBs) for Regulatory Purposes</w:t>
      </w:r>
    </w:p>
    <w:p w:rsidR="00C96881" w:rsidRDefault="00C96881" w:rsidP="00C96881">
      <w:pPr>
        <w:pStyle w:val="NormalWeb"/>
        <w:jc w:val="both"/>
        <w:rPr>
          <w:rFonts w:ascii="Arial" w:hAnsi="Arial" w:cs="Arial"/>
          <w:color w:val="000000"/>
          <w:sz w:val="20"/>
          <w:szCs w:val="20"/>
        </w:rPr>
      </w:pPr>
      <w:r>
        <w:rPr>
          <w:rFonts w:ascii="Arial" w:hAnsi="Arial" w:cs="Arial"/>
          <w:color w:val="000000"/>
          <w:sz w:val="20"/>
          <w:szCs w:val="20"/>
        </w:rPr>
        <w:t>Given the heterogeneity in the cooperative sector, a tiered regulatory framework is required to balance the spirit of mutuality and co-operation more prevalent in banks of smaller sizes and those with limited area of operation vis-à-vis the growth ambitions of the large-sized UCBs to spread their area of operation and undertake more complex business activities.</w:t>
      </w:r>
    </w:p>
    <w:p w:rsidR="00C96881" w:rsidRDefault="00C96881" w:rsidP="00C96881">
      <w:pPr>
        <w:pStyle w:val="NormalWeb"/>
        <w:jc w:val="both"/>
        <w:rPr>
          <w:rFonts w:ascii="Arial" w:hAnsi="Arial" w:cs="Arial"/>
          <w:color w:val="000000"/>
          <w:sz w:val="20"/>
          <w:szCs w:val="20"/>
        </w:rPr>
      </w:pPr>
      <w:r>
        <w:rPr>
          <w:rFonts w:ascii="Arial" w:hAnsi="Arial" w:cs="Arial"/>
          <w:color w:val="000000"/>
          <w:sz w:val="20"/>
          <w:szCs w:val="20"/>
        </w:rPr>
        <w:t>2. The Reserve Bank of India had constituted the </w:t>
      </w:r>
      <w:hyperlink r:id="rId168" w:tgtFrame="_blank" w:history="1">
        <w:r>
          <w:rPr>
            <w:rStyle w:val="Hyperlink"/>
            <w:rFonts w:ascii="Arial" w:hAnsi="Arial" w:cs="Arial"/>
            <w:sz w:val="20"/>
            <w:szCs w:val="20"/>
          </w:rPr>
          <w:t>Expert Committee on Urban Co-operative Banks</w:t>
        </w:r>
      </w:hyperlink>
      <w:r>
        <w:rPr>
          <w:rFonts w:ascii="Arial" w:hAnsi="Arial" w:cs="Arial"/>
          <w:color w:val="000000"/>
          <w:sz w:val="20"/>
          <w:szCs w:val="20"/>
        </w:rPr>
        <w:t> to examine the issues in urban cooperative banking sector and to review regulatory/ supervisory approach for strengthening the sector. Based on the recommendations of the Expert Committee, RBI had released the </w:t>
      </w:r>
      <w:hyperlink r:id="rId169" w:tgtFrame="_blank" w:history="1">
        <w:r>
          <w:rPr>
            <w:rStyle w:val="Hyperlink"/>
            <w:rFonts w:ascii="Arial" w:hAnsi="Arial" w:cs="Arial"/>
            <w:sz w:val="20"/>
            <w:szCs w:val="20"/>
          </w:rPr>
          <w:t>Revised Regulatory Framework for Urban Co-operative Banks (UCBs) on July 19, 2022</w:t>
        </w:r>
      </w:hyperlink>
      <w:r>
        <w:rPr>
          <w:rFonts w:ascii="Arial" w:hAnsi="Arial" w:cs="Arial"/>
          <w:color w:val="000000"/>
          <w:sz w:val="20"/>
          <w:szCs w:val="20"/>
        </w:rPr>
        <w:t>.</w:t>
      </w:r>
    </w:p>
    <w:p w:rsidR="00C96881" w:rsidRDefault="00C96881" w:rsidP="00C96881">
      <w:pPr>
        <w:pStyle w:val="NormalWeb"/>
        <w:jc w:val="both"/>
        <w:rPr>
          <w:rFonts w:ascii="Arial" w:hAnsi="Arial" w:cs="Arial"/>
          <w:color w:val="000000"/>
          <w:sz w:val="20"/>
          <w:szCs w:val="20"/>
        </w:rPr>
      </w:pPr>
      <w:r>
        <w:rPr>
          <w:rFonts w:ascii="Arial" w:hAnsi="Arial" w:cs="Arial"/>
          <w:color w:val="000000"/>
          <w:sz w:val="20"/>
          <w:szCs w:val="20"/>
        </w:rPr>
        <w:t>3. Accordingly, it has been decided to adopt a four-tiered regulatory framework, as against the existing two-tiered framework, for categorization of UCBs. Going forward, this categorization may be used for differentiated regulatory prescriptions aimed at strengthening the financial soundness of the UCBs.</w:t>
      </w:r>
    </w:p>
    <w:p w:rsidR="00C96881" w:rsidRDefault="00C96881" w:rsidP="00C96881">
      <w:pPr>
        <w:pStyle w:val="NormalWeb"/>
        <w:jc w:val="both"/>
        <w:rPr>
          <w:rFonts w:ascii="Arial" w:hAnsi="Arial" w:cs="Arial"/>
          <w:color w:val="000000"/>
          <w:sz w:val="20"/>
          <w:szCs w:val="20"/>
        </w:rPr>
      </w:pPr>
      <w:r>
        <w:rPr>
          <w:rFonts w:ascii="Arial" w:hAnsi="Arial" w:cs="Arial"/>
          <w:color w:val="000000"/>
          <w:sz w:val="20"/>
          <w:szCs w:val="20"/>
        </w:rPr>
        <w:t>4. The categorization of UCBs, based on their deposit size, is enclosed in </w:t>
      </w:r>
      <w:hyperlink r:id="rId170" w:anchor="AN1" w:history="1">
        <w:r>
          <w:rPr>
            <w:rStyle w:val="Hyperlink"/>
            <w:rFonts w:ascii="Arial" w:hAnsi="Arial" w:cs="Arial"/>
            <w:sz w:val="20"/>
            <w:szCs w:val="20"/>
          </w:rPr>
          <w:t>Annex</w:t>
        </w:r>
      </w:hyperlink>
      <w:r>
        <w:rPr>
          <w:rFonts w:ascii="Arial" w:hAnsi="Arial" w:cs="Arial"/>
          <w:color w:val="000000"/>
          <w:sz w:val="20"/>
          <w:szCs w:val="20"/>
        </w:rPr>
        <w:t>.</w:t>
      </w:r>
    </w:p>
    <w:p w:rsidR="00C96881" w:rsidRDefault="00C96881" w:rsidP="00C96881">
      <w:pPr>
        <w:pStyle w:val="head"/>
        <w:jc w:val="both"/>
        <w:rPr>
          <w:rFonts w:ascii="Arial" w:hAnsi="Arial" w:cs="Arial"/>
          <w:b/>
          <w:bCs/>
          <w:color w:val="000000"/>
          <w:sz w:val="20"/>
          <w:szCs w:val="20"/>
        </w:rPr>
      </w:pPr>
      <w:r>
        <w:rPr>
          <w:rFonts w:ascii="Arial" w:hAnsi="Arial" w:cs="Arial"/>
          <w:b/>
          <w:bCs/>
          <w:color w:val="000000"/>
          <w:sz w:val="20"/>
          <w:szCs w:val="20"/>
        </w:rPr>
        <w:t>Commencement</w:t>
      </w:r>
    </w:p>
    <w:p w:rsidR="00C96881" w:rsidRDefault="00C96881" w:rsidP="00C96881">
      <w:pPr>
        <w:pStyle w:val="NormalWeb"/>
        <w:jc w:val="both"/>
        <w:rPr>
          <w:rFonts w:ascii="Arial" w:hAnsi="Arial" w:cs="Arial"/>
          <w:color w:val="000000"/>
          <w:sz w:val="20"/>
          <w:szCs w:val="20"/>
        </w:rPr>
      </w:pPr>
      <w:r>
        <w:rPr>
          <w:rFonts w:ascii="Arial" w:hAnsi="Arial" w:cs="Arial"/>
          <w:color w:val="000000"/>
          <w:sz w:val="20"/>
          <w:szCs w:val="20"/>
        </w:rPr>
        <w:t>5. The instructions shall be applicable with immediate effect.</w:t>
      </w:r>
    </w:p>
    <w:p w:rsidR="00C96881" w:rsidRDefault="00C96881" w:rsidP="00C96881">
      <w:pPr>
        <w:pStyle w:val="head"/>
        <w:jc w:val="both"/>
        <w:rPr>
          <w:rFonts w:ascii="Arial" w:hAnsi="Arial" w:cs="Arial"/>
          <w:b/>
          <w:bCs/>
          <w:color w:val="000000"/>
          <w:sz w:val="20"/>
          <w:szCs w:val="20"/>
        </w:rPr>
      </w:pPr>
      <w:r>
        <w:rPr>
          <w:rFonts w:ascii="Arial" w:hAnsi="Arial" w:cs="Arial"/>
          <w:b/>
          <w:bCs/>
          <w:color w:val="000000"/>
          <w:sz w:val="20"/>
          <w:szCs w:val="20"/>
        </w:rPr>
        <w:t>Applicability</w:t>
      </w:r>
    </w:p>
    <w:p w:rsidR="00C96881" w:rsidRDefault="00C96881" w:rsidP="00C96881">
      <w:pPr>
        <w:pStyle w:val="NormalWeb"/>
        <w:jc w:val="both"/>
        <w:rPr>
          <w:rFonts w:ascii="Arial" w:hAnsi="Arial" w:cs="Arial"/>
          <w:color w:val="000000"/>
          <w:sz w:val="20"/>
          <w:szCs w:val="20"/>
        </w:rPr>
      </w:pPr>
      <w:r>
        <w:rPr>
          <w:rFonts w:ascii="Arial" w:hAnsi="Arial" w:cs="Arial"/>
          <w:color w:val="000000"/>
          <w:sz w:val="20"/>
          <w:szCs w:val="20"/>
        </w:rPr>
        <w:t>6. This circular is applicable to all Primary (Urban) Co-operative Banks.</w:t>
      </w:r>
    </w:p>
    <w:p w:rsidR="00C96881" w:rsidRDefault="00C96881" w:rsidP="00C96881">
      <w:pPr>
        <w:pStyle w:val="NormalWeb"/>
        <w:rPr>
          <w:rFonts w:ascii="Arial" w:hAnsi="Arial" w:cs="Arial"/>
          <w:color w:val="000000"/>
          <w:sz w:val="20"/>
          <w:szCs w:val="20"/>
        </w:rPr>
      </w:pPr>
      <w:r>
        <w:rPr>
          <w:rFonts w:ascii="Arial" w:hAnsi="Arial" w:cs="Arial"/>
          <w:color w:val="000000"/>
          <w:sz w:val="20"/>
          <w:szCs w:val="20"/>
        </w:rPr>
        <w:t xml:space="preserve">(Prakash </w:t>
      </w:r>
      <w:proofErr w:type="spellStart"/>
      <w:r>
        <w:rPr>
          <w:rFonts w:ascii="Arial" w:hAnsi="Arial" w:cs="Arial"/>
          <w:color w:val="000000"/>
          <w:sz w:val="20"/>
          <w:szCs w:val="20"/>
        </w:rPr>
        <w:t>Baliarsingh</w:t>
      </w:r>
      <w:proofErr w:type="spellEnd"/>
      <w:r>
        <w:rPr>
          <w:rFonts w:ascii="Arial" w:hAnsi="Arial" w:cs="Arial"/>
          <w:color w:val="000000"/>
          <w:sz w:val="20"/>
          <w:szCs w:val="20"/>
        </w:rPr>
        <w:t>)</w:t>
      </w:r>
      <w:r>
        <w:rPr>
          <w:rFonts w:ascii="Arial" w:hAnsi="Arial" w:cs="Arial"/>
          <w:color w:val="000000"/>
          <w:sz w:val="20"/>
          <w:szCs w:val="20"/>
        </w:rPr>
        <w:br/>
        <w:t>Chief General Manager</w:t>
      </w:r>
    </w:p>
    <w:p w:rsidR="00C96881" w:rsidRDefault="00C96881" w:rsidP="00C96881">
      <w:pPr>
        <w:rPr>
          <w:rFonts w:ascii="Arial" w:hAnsi="Arial" w:cs="Arial"/>
          <w:sz w:val="20"/>
          <w:szCs w:val="20"/>
        </w:rPr>
      </w:pPr>
    </w:p>
    <w:p w:rsidR="00C96881" w:rsidRDefault="00C96881" w:rsidP="00C96881">
      <w:pPr>
        <w:rPr>
          <w:rFonts w:ascii="Arial" w:hAnsi="Arial" w:cs="Arial"/>
          <w:sz w:val="20"/>
          <w:szCs w:val="20"/>
        </w:rPr>
      </w:pPr>
    </w:p>
    <w:p w:rsidR="00C96881" w:rsidRDefault="00C96881" w:rsidP="00C96881">
      <w:r>
        <w:t>More details can be referred to in the below link.</w:t>
      </w:r>
    </w:p>
    <w:p w:rsidR="00C96881" w:rsidRDefault="00C96881" w:rsidP="00C96881">
      <w:pPr>
        <w:rPr>
          <w:rFonts w:ascii="Arial" w:hAnsi="Arial" w:cs="Arial"/>
          <w:bCs/>
          <w:color w:val="000000"/>
          <w:sz w:val="20"/>
          <w:szCs w:val="20"/>
        </w:rPr>
      </w:pPr>
      <w:r>
        <w:rPr>
          <w:rFonts w:ascii="Arial" w:hAnsi="Arial" w:cs="Arial"/>
          <w:bCs/>
          <w:color w:val="000000"/>
          <w:sz w:val="20"/>
          <w:szCs w:val="20"/>
        </w:rPr>
        <w:t xml:space="preserve">Reference Link: </w:t>
      </w:r>
      <w:hyperlink r:id="rId171" w:history="1">
        <w:r w:rsidRPr="00735218">
          <w:rPr>
            <w:rStyle w:val="Hyperlink"/>
            <w:rFonts w:ascii="Arial" w:hAnsi="Arial" w:cs="Arial"/>
            <w:bCs/>
            <w:sz w:val="20"/>
            <w:szCs w:val="20"/>
          </w:rPr>
          <w:t>https://m.rbi.org.in/scripts/FS_Notification.aspx?Id=12416&amp;fn=2755&amp;Mode=0</w:t>
        </w:r>
      </w:hyperlink>
    </w:p>
    <w:p w:rsidR="00C96881" w:rsidRDefault="00C96881" w:rsidP="00C96881">
      <w:pPr>
        <w:rPr>
          <w:rFonts w:ascii="Arial" w:hAnsi="Arial" w:cs="Arial"/>
          <w:bCs/>
          <w:color w:val="000000"/>
          <w:sz w:val="20"/>
          <w:szCs w:val="20"/>
        </w:rPr>
      </w:pPr>
    </w:p>
    <w:p w:rsidR="00C96881" w:rsidRDefault="00C96881" w:rsidP="00C96881">
      <w:pPr>
        <w:rPr>
          <w:rFonts w:ascii="Arial" w:hAnsi="Arial" w:cs="Arial"/>
          <w:bCs/>
          <w:color w:val="000000"/>
          <w:sz w:val="20"/>
          <w:szCs w:val="20"/>
        </w:rPr>
      </w:pPr>
    </w:p>
    <w:p w:rsidR="00C96881" w:rsidRDefault="00C96881" w:rsidP="00C96881">
      <w:pPr>
        <w:rPr>
          <w:rFonts w:ascii="Arial" w:hAnsi="Arial" w:cs="Arial"/>
          <w:b/>
          <w:bCs/>
          <w:color w:val="000000"/>
          <w:sz w:val="20"/>
          <w:szCs w:val="20"/>
        </w:rPr>
      </w:pPr>
    </w:p>
    <w:p w:rsidR="00C96881" w:rsidRDefault="00C96881" w:rsidP="00C96881">
      <w:pPr>
        <w:rPr>
          <w:rFonts w:ascii="Arial" w:hAnsi="Arial" w:cs="Arial"/>
          <w:b/>
          <w:bCs/>
          <w:color w:val="000000"/>
          <w:sz w:val="20"/>
          <w:szCs w:val="20"/>
        </w:rPr>
      </w:pPr>
    </w:p>
    <w:p w:rsidR="00C96881" w:rsidRDefault="00C96881" w:rsidP="0001090D">
      <w:pPr>
        <w:rPr>
          <w:rFonts w:ascii="Arial" w:hAnsi="Arial" w:cs="Arial"/>
          <w:bCs/>
          <w:color w:val="000000"/>
          <w:sz w:val="20"/>
          <w:szCs w:val="20"/>
        </w:rPr>
      </w:pPr>
    </w:p>
    <w:p w:rsidR="00C96881" w:rsidRDefault="00C96881" w:rsidP="0001090D">
      <w:pPr>
        <w:rPr>
          <w:rFonts w:ascii="Arial" w:hAnsi="Arial" w:cs="Arial"/>
          <w:bCs/>
          <w:color w:val="000000"/>
          <w:sz w:val="20"/>
          <w:szCs w:val="20"/>
        </w:rPr>
      </w:pPr>
    </w:p>
    <w:p w:rsidR="00C96881" w:rsidRDefault="00C96881" w:rsidP="00C96881">
      <w:pPr>
        <w:spacing w:after="0"/>
        <w:rPr>
          <w:rFonts w:ascii="Arial" w:hAnsi="Arial" w:cs="Arial"/>
          <w:b/>
          <w:bCs/>
          <w:color w:val="000000"/>
          <w:sz w:val="20"/>
          <w:szCs w:val="20"/>
        </w:rPr>
      </w:pPr>
      <w:r>
        <w:rPr>
          <w:rFonts w:ascii="Arial" w:hAnsi="Arial" w:cs="Arial"/>
          <w:b/>
          <w:bCs/>
          <w:color w:val="000000"/>
          <w:sz w:val="20"/>
          <w:szCs w:val="20"/>
        </w:rPr>
        <w:t xml:space="preserve">Operations of subsidiaries and branches of Indian banks and All India Financial Institutions (AIFIs) in foreign jurisdictions and in International Financial Services </w:t>
      </w:r>
      <w:proofErr w:type="spellStart"/>
      <w:r>
        <w:rPr>
          <w:rFonts w:ascii="Arial" w:hAnsi="Arial" w:cs="Arial"/>
          <w:b/>
          <w:bCs/>
          <w:color w:val="000000"/>
          <w:sz w:val="20"/>
          <w:szCs w:val="20"/>
        </w:rPr>
        <w:t>Centers</w:t>
      </w:r>
      <w:proofErr w:type="spellEnd"/>
      <w:r>
        <w:rPr>
          <w:rFonts w:ascii="Arial" w:hAnsi="Arial" w:cs="Arial"/>
          <w:b/>
          <w:bCs/>
          <w:color w:val="000000"/>
          <w:sz w:val="20"/>
          <w:szCs w:val="20"/>
        </w:rPr>
        <w:t xml:space="preserve"> (IFSCs) - Compliance with statutory/regulatory norms</w:t>
      </w:r>
    </w:p>
    <w:p w:rsidR="00C96881" w:rsidRDefault="00C96881" w:rsidP="00C96881">
      <w:pPr>
        <w:spacing w:after="0"/>
        <w:rPr>
          <w:rFonts w:ascii="Arial" w:hAnsi="Arial" w:cs="Arial"/>
          <w:b/>
          <w:bCs/>
          <w:color w:val="000000"/>
          <w:sz w:val="20"/>
          <w:szCs w:val="20"/>
        </w:rPr>
      </w:pPr>
    </w:p>
    <w:p w:rsidR="00C96881" w:rsidRDefault="00C96881" w:rsidP="00C96881">
      <w:pPr>
        <w:pStyle w:val="NormalWeb"/>
        <w:jc w:val="both"/>
        <w:rPr>
          <w:rFonts w:ascii="Arial" w:hAnsi="Arial" w:cs="Arial"/>
          <w:color w:val="000000"/>
          <w:sz w:val="20"/>
          <w:szCs w:val="20"/>
        </w:rPr>
      </w:pPr>
      <w:r>
        <w:rPr>
          <w:rFonts w:ascii="Arial" w:hAnsi="Arial" w:cs="Arial"/>
          <w:color w:val="000000"/>
          <w:sz w:val="20"/>
          <w:szCs w:val="20"/>
        </w:rPr>
        <w:t>RBI/2022-23/145</w:t>
      </w:r>
      <w:r>
        <w:rPr>
          <w:rFonts w:ascii="Arial" w:hAnsi="Arial" w:cs="Arial"/>
          <w:color w:val="000000"/>
          <w:sz w:val="20"/>
          <w:szCs w:val="20"/>
        </w:rPr>
        <w:br/>
        <w:t>DOR.MRG.REC.87/00-00-020/2022-23</w:t>
      </w:r>
    </w:p>
    <w:p w:rsidR="00C96881" w:rsidRDefault="00C96881" w:rsidP="00C96881">
      <w:pPr>
        <w:pStyle w:val="NormalWeb"/>
        <w:jc w:val="right"/>
        <w:rPr>
          <w:rFonts w:ascii="Arial" w:hAnsi="Arial" w:cs="Arial"/>
          <w:color w:val="000000"/>
          <w:sz w:val="20"/>
          <w:szCs w:val="20"/>
        </w:rPr>
      </w:pPr>
      <w:r>
        <w:rPr>
          <w:rFonts w:ascii="Arial" w:hAnsi="Arial" w:cs="Arial"/>
          <w:color w:val="000000"/>
          <w:sz w:val="20"/>
          <w:szCs w:val="20"/>
        </w:rPr>
        <w:t>December 1, 2022</w:t>
      </w:r>
    </w:p>
    <w:p w:rsidR="00C96881" w:rsidRDefault="00C96881" w:rsidP="00C96881">
      <w:pPr>
        <w:pStyle w:val="head"/>
        <w:jc w:val="both"/>
        <w:rPr>
          <w:rFonts w:ascii="Arial" w:hAnsi="Arial" w:cs="Arial"/>
          <w:b/>
          <w:bCs/>
          <w:color w:val="000000"/>
          <w:sz w:val="20"/>
          <w:szCs w:val="20"/>
        </w:rPr>
      </w:pPr>
      <w:r>
        <w:rPr>
          <w:rFonts w:ascii="Arial" w:hAnsi="Arial" w:cs="Arial"/>
          <w:b/>
          <w:bCs/>
          <w:color w:val="000000"/>
          <w:sz w:val="20"/>
          <w:szCs w:val="20"/>
        </w:rPr>
        <w:t xml:space="preserve">Operations of subsidiaries and branches of Indian banks and All India Financial Institutions (AIFIs) in foreign jurisdictions and in International Financial Services </w:t>
      </w:r>
      <w:proofErr w:type="spellStart"/>
      <w:r>
        <w:rPr>
          <w:rFonts w:ascii="Arial" w:hAnsi="Arial" w:cs="Arial"/>
          <w:b/>
          <w:bCs/>
          <w:color w:val="000000"/>
          <w:sz w:val="20"/>
          <w:szCs w:val="20"/>
        </w:rPr>
        <w:t>Centers</w:t>
      </w:r>
      <w:proofErr w:type="spellEnd"/>
      <w:r>
        <w:rPr>
          <w:rFonts w:ascii="Arial" w:hAnsi="Arial" w:cs="Arial"/>
          <w:b/>
          <w:bCs/>
          <w:color w:val="000000"/>
          <w:sz w:val="20"/>
          <w:szCs w:val="20"/>
        </w:rPr>
        <w:t xml:space="preserve"> (IFSCs) - Compliance with statutory/regulatory norms</w:t>
      </w:r>
    </w:p>
    <w:p w:rsidR="00C96881" w:rsidRDefault="00C96881" w:rsidP="00C96881">
      <w:pPr>
        <w:pStyle w:val="NormalWeb"/>
        <w:jc w:val="both"/>
        <w:rPr>
          <w:rFonts w:ascii="Arial" w:hAnsi="Arial" w:cs="Arial"/>
          <w:color w:val="000000"/>
          <w:sz w:val="20"/>
          <w:szCs w:val="20"/>
        </w:rPr>
      </w:pPr>
      <w:r>
        <w:rPr>
          <w:rFonts w:ascii="Arial" w:hAnsi="Arial" w:cs="Arial"/>
          <w:color w:val="000000"/>
          <w:sz w:val="20"/>
          <w:szCs w:val="20"/>
        </w:rPr>
        <w:t>As you are aware, Reserve Bank had vide </w:t>
      </w:r>
      <w:hyperlink r:id="rId172" w:tgtFrame="_blank" w:history="1">
        <w:r>
          <w:rPr>
            <w:rStyle w:val="Hyperlink"/>
            <w:rFonts w:ascii="Arial" w:hAnsi="Arial" w:cs="Arial"/>
            <w:sz w:val="20"/>
            <w:szCs w:val="20"/>
          </w:rPr>
          <w:t>circular DBOD.No.BP.BC.89/21.04.141/2008-09 dated December 1, 2008</w:t>
        </w:r>
      </w:hyperlink>
      <w:r>
        <w:rPr>
          <w:rFonts w:ascii="Arial" w:hAnsi="Arial" w:cs="Arial"/>
          <w:color w:val="000000"/>
          <w:sz w:val="20"/>
          <w:szCs w:val="20"/>
        </w:rPr>
        <w:t> and </w:t>
      </w:r>
      <w:hyperlink r:id="rId173" w:tgtFrame="_blank" w:history="1">
        <w:r>
          <w:rPr>
            <w:rStyle w:val="Hyperlink"/>
            <w:rFonts w:ascii="Arial" w:hAnsi="Arial" w:cs="Arial"/>
            <w:sz w:val="20"/>
            <w:szCs w:val="20"/>
          </w:rPr>
          <w:t>circular DBOD.No.BP.BC.111/21.04.157/2013-14 dated May 12, 2014</w:t>
        </w:r>
      </w:hyperlink>
      <w:r>
        <w:rPr>
          <w:rFonts w:ascii="Arial" w:hAnsi="Arial" w:cs="Arial"/>
          <w:color w:val="000000"/>
          <w:sz w:val="20"/>
          <w:szCs w:val="20"/>
        </w:rPr>
        <w:t xml:space="preserve"> issued instructions to Indian banks and AIFIs on the issue of dealing in financial products by their branches/subsidiaries operating outside India. On a review, it was felt that a framework needs to be in place to allow them to undertake activities which are not specifically permitted in the Indian domestic market and also to specify the applicability of these instructions to International Financial Services </w:t>
      </w:r>
      <w:proofErr w:type="spellStart"/>
      <w:r>
        <w:rPr>
          <w:rFonts w:ascii="Arial" w:hAnsi="Arial" w:cs="Arial"/>
          <w:color w:val="000000"/>
          <w:sz w:val="20"/>
          <w:szCs w:val="20"/>
        </w:rPr>
        <w:t>Centers</w:t>
      </w:r>
      <w:proofErr w:type="spellEnd"/>
      <w:r>
        <w:rPr>
          <w:rFonts w:ascii="Arial" w:hAnsi="Arial" w:cs="Arial"/>
          <w:color w:val="000000"/>
          <w:sz w:val="20"/>
          <w:szCs w:val="20"/>
        </w:rPr>
        <w:t xml:space="preserve"> (IFSCs) in India including Gujarat International Finance Tec-City (GIFT City).</w:t>
      </w:r>
    </w:p>
    <w:p w:rsidR="00C96881" w:rsidRDefault="00C96881" w:rsidP="00C96881">
      <w:pPr>
        <w:pStyle w:val="head"/>
        <w:jc w:val="both"/>
        <w:rPr>
          <w:rFonts w:ascii="Arial" w:hAnsi="Arial" w:cs="Arial"/>
          <w:b/>
          <w:bCs/>
          <w:color w:val="000000"/>
          <w:sz w:val="20"/>
          <w:szCs w:val="20"/>
        </w:rPr>
      </w:pPr>
      <w:r>
        <w:rPr>
          <w:rFonts w:ascii="Arial" w:hAnsi="Arial" w:cs="Arial"/>
          <w:b/>
          <w:bCs/>
          <w:color w:val="000000"/>
          <w:sz w:val="20"/>
          <w:szCs w:val="20"/>
        </w:rPr>
        <w:t>1. Applicability and commencement</w:t>
      </w:r>
    </w:p>
    <w:p w:rsidR="00C96881" w:rsidRDefault="00C96881" w:rsidP="00C96881">
      <w:pPr>
        <w:pStyle w:val="head"/>
        <w:jc w:val="both"/>
        <w:rPr>
          <w:rFonts w:ascii="Arial" w:hAnsi="Arial" w:cs="Arial"/>
          <w:b/>
          <w:bCs/>
          <w:color w:val="000000"/>
          <w:sz w:val="20"/>
          <w:szCs w:val="20"/>
        </w:rPr>
      </w:pPr>
      <w:r>
        <w:rPr>
          <w:rFonts w:ascii="Arial" w:hAnsi="Arial" w:cs="Arial"/>
          <w:b/>
          <w:bCs/>
          <w:color w:val="000000"/>
          <w:sz w:val="20"/>
          <w:szCs w:val="20"/>
        </w:rPr>
        <w:t>2. Dealing in financial products</w:t>
      </w:r>
    </w:p>
    <w:p w:rsidR="00C96881" w:rsidRDefault="00C96881" w:rsidP="00C96881">
      <w:pPr>
        <w:pStyle w:val="head"/>
        <w:jc w:val="both"/>
        <w:rPr>
          <w:rFonts w:ascii="Arial" w:hAnsi="Arial" w:cs="Arial"/>
          <w:b/>
          <w:bCs/>
          <w:color w:val="000000"/>
          <w:sz w:val="20"/>
          <w:szCs w:val="20"/>
        </w:rPr>
      </w:pPr>
      <w:r>
        <w:rPr>
          <w:rFonts w:ascii="Arial" w:hAnsi="Arial" w:cs="Arial"/>
          <w:b/>
          <w:bCs/>
          <w:color w:val="000000"/>
          <w:sz w:val="20"/>
          <w:szCs w:val="20"/>
        </w:rPr>
        <w:t>3. Conditions for dealing in financial products</w:t>
      </w:r>
    </w:p>
    <w:p w:rsidR="00C96881" w:rsidRDefault="00C96881" w:rsidP="00C96881">
      <w:pPr>
        <w:pStyle w:val="head"/>
        <w:jc w:val="both"/>
        <w:rPr>
          <w:rFonts w:ascii="Arial" w:hAnsi="Arial" w:cs="Arial"/>
          <w:b/>
          <w:bCs/>
          <w:color w:val="000000"/>
          <w:sz w:val="20"/>
          <w:szCs w:val="20"/>
        </w:rPr>
      </w:pPr>
      <w:r>
        <w:rPr>
          <w:rFonts w:ascii="Arial" w:hAnsi="Arial" w:cs="Arial"/>
          <w:b/>
          <w:bCs/>
          <w:color w:val="000000"/>
          <w:sz w:val="20"/>
          <w:szCs w:val="20"/>
        </w:rPr>
        <w:t>4. Compliance with prudential norms</w:t>
      </w:r>
    </w:p>
    <w:p w:rsidR="00C96881" w:rsidRDefault="00C96881" w:rsidP="00C96881">
      <w:pPr>
        <w:pStyle w:val="head"/>
        <w:jc w:val="both"/>
        <w:rPr>
          <w:rFonts w:ascii="Arial" w:hAnsi="Arial" w:cs="Arial"/>
          <w:b/>
          <w:bCs/>
          <w:color w:val="000000"/>
          <w:sz w:val="20"/>
          <w:szCs w:val="20"/>
        </w:rPr>
      </w:pPr>
      <w:r>
        <w:rPr>
          <w:rFonts w:ascii="Arial" w:hAnsi="Arial" w:cs="Arial"/>
          <w:b/>
          <w:bCs/>
          <w:color w:val="000000"/>
          <w:sz w:val="20"/>
          <w:szCs w:val="20"/>
        </w:rPr>
        <w:t>5. Activities subject to Indian laws</w:t>
      </w:r>
    </w:p>
    <w:p w:rsidR="00C96881" w:rsidRDefault="00C96881" w:rsidP="00C96881">
      <w:pPr>
        <w:pStyle w:val="head"/>
        <w:jc w:val="both"/>
        <w:rPr>
          <w:rFonts w:ascii="Arial" w:hAnsi="Arial" w:cs="Arial"/>
          <w:b/>
          <w:bCs/>
          <w:color w:val="000000"/>
          <w:sz w:val="20"/>
          <w:szCs w:val="20"/>
        </w:rPr>
      </w:pPr>
      <w:r>
        <w:rPr>
          <w:rFonts w:ascii="Arial" w:hAnsi="Arial" w:cs="Arial"/>
          <w:b/>
          <w:bCs/>
          <w:color w:val="000000"/>
          <w:sz w:val="20"/>
          <w:szCs w:val="20"/>
        </w:rPr>
        <w:t>6. Repeal of earlier instructions</w:t>
      </w:r>
    </w:p>
    <w:p w:rsidR="00C96881" w:rsidRDefault="00C96881" w:rsidP="00C96881">
      <w:pPr>
        <w:pStyle w:val="NormalWeb"/>
        <w:spacing w:after="0" w:afterAutospacing="0"/>
        <w:jc w:val="both"/>
        <w:rPr>
          <w:rFonts w:ascii="Arial" w:hAnsi="Arial" w:cs="Arial"/>
          <w:color w:val="000000"/>
          <w:sz w:val="20"/>
          <w:szCs w:val="20"/>
        </w:rPr>
      </w:pPr>
      <w:r>
        <w:rPr>
          <w:rFonts w:ascii="Arial" w:hAnsi="Arial" w:cs="Arial"/>
          <w:color w:val="000000"/>
          <w:sz w:val="20"/>
          <w:szCs w:val="20"/>
        </w:rPr>
        <w:t>Yours faithfully,</w:t>
      </w:r>
    </w:p>
    <w:p w:rsidR="00C96881" w:rsidRDefault="00C96881" w:rsidP="00C96881">
      <w:pPr>
        <w:pStyle w:val="NormalWeb"/>
        <w:spacing w:before="0" w:beforeAutospacing="0" w:after="0" w:afterAutospacing="0"/>
        <w:rPr>
          <w:rFonts w:ascii="Arial" w:hAnsi="Arial" w:cs="Arial"/>
          <w:color w:val="000000"/>
          <w:sz w:val="20"/>
          <w:szCs w:val="20"/>
        </w:rPr>
      </w:pPr>
      <w:r>
        <w:rPr>
          <w:rFonts w:ascii="Arial" w:hAnsi="Arial" w:cs="Arial"/>
          <w:color w:val="000000"/>
          <w:sz w:val="20"/>
          <w:szCs w:val="20"/>
        </w:rPr>
        <w:t>(</w:t>
      </w:r>
      <w:proofErr w:type="spellStart"/>
      <w:r>
        <w:rPr>
          <w:rFonts w:ascii="Arial" w:hAnsi="Arial" w:cs="Arial"/>
          <w:color w:val="000000"/>
          <w:sz w:val="20"/>
          <w:szCs w:val="20"/>
        </w:rPr>
        <w:t>Usha</w:t>
      </w:r>
      <w:proofErr w:type="spellEnd"/>
      <w:r>
        <w:rPr>
          <w:rFonts w:ascii="Arial" w:hAnsi="Arial" w:cs="Arial"/>
          <w:color w:val="000000"/>
          <w:sz w:val="20"/>
          <w:szCs w:val="20"/>
        </w:rPr>
        <w:t xml:space="preserve"> </w:t>
      </w:r>
      <w:proofErr w:type="spellStart"/>
      <w:r>
        <w:rPr>
          <w:rFonts w:ascii="Arial" w:hAnsi="Arial" w:cs="Arial"/>
          <w:color w:val="000000"/>
          <w:sz w:val="20"/>
          <w:szCs w:val="20"/>
        </w:rPr>
        <w:t>Janakiraman</w:t>
      </w:r>
      <w:proofErr w:type="spellEnd"/>
      <w:r>
        <w:rPr>
          <w:rFonts w:ascii="Arial" w:hAnsi="Arial" w:cs="Arial"/>
          <w:color w:val="000000"/>
          <w:sz w:val="20"/>
          <w:szCs w:val="20"/>
        </w:rPr>
        <w:t>)</w:t>
      </w:r>
      <w:r>
        <w:rPr>
          <w:rFonts w:ascii="Arial" w:hAnsi="Arial" w:cs="Arial"/>
          <w:color w:val="000000"/>
          <w:sz w:val="20"/>
          <w:szCs w:val="20"/>
        </w:rPr>
        <w:br/>
        <w:t>Chief General Manager</w:t>
      </w:r>
    </w:p>
    <w:p w:rsidR="00C96881" w:rsidRDefault="00C96881" w:rsidP="00C96881">
      <w:pPr>
        <w:spacing w:after="0"/>
        <w:rPr>
          <w:rFonts w:ascii="Arial" w:hAnsi="Arial" w:cs="Arial"/>
          <w:sz w:val="20"/>
          <w:szCs w:val="20"/>
        </w:rPr>
      </w:pPr>
    </w:p>
    <w:p w:rsidR="00C96881" w:rsidRDefault="00C96881" w:rsidP="00C96881">
      <w:pPr>
        <w:spacing w:after="0"/>
        <w:rPr>
          <w:rFonts w:ascii="Arial" w:hAnsi="Arial" w:cs="Arial"/>
          <w:sz w:val="20"/>
          <w:szCs w:val="20"/>
        </w:rPr>
      </w:pPr>
    </w:p>
    <w:p w:rsidR="00C96881" w:rsidRDefault="00C96881" w:rsidP="00C96881">
      <w:pPr>
        <w:spacing w:after="0"/>
        <w:rPr>
          <w:rFonts w:ascii="Arial" w:hAnsi="Arial" w:cs="Arial"/>
          <w:sz w:val="20"/>
          <w:szCs w:val="20"/>
        </w:rPr>
      </w:pPr>
    </w:p>
    <w:p w:rsidR="00C96881" w:rsidRDefault="00C96881" w:rsidP="00C96881">
      <w:pPr>
        <w:spacing w:after="0"/>
        <w:rPr>
          <w:rFonts w:ascii="Arial" w:hAnsi="Arial" w:cs="Arial"/>
          <w:sz w:val="20"/>
          <w:szCs w:val="20"/>
        </w:rPr>
      </w:pPr>
    </w:p>
    <w:p w:rsidR="00C96881" w:rsidRDefault="00C96881" w:rsidP="00C96881">
      <w:pPr>
        <w:spacing w:after="0"/>
        <w:rPr>
          <w:rFonts w:ascii="Arial" w:hAnsi="Arial" w:cs="Arial"/>
          <w:sz w:val="20"/>
          <w:szCs w:val="20"/>
        </w:rPr>
      </w:pPr>
    </w:p>
    <w:p w:rsidR="00C96881" w:rsidRDefault="00C96881" w:rsidP="00C96881">
      <w:pPr>
        <w:spacing w:after="0"/>
        <w:rPr>
          <w:rFonts w:ascii="Arial" w:hAnsi="Arial" w:cs="Arial"/>
          <w:sz w:val="20"/>
          <w:szCs w:val="20"/>
        </w:rPr>
      </w:pPr>
    </w:p>
    <w:p w:rsidR="00C96881" w:rsidRPr="00435B25" w:rsidRDefault="00C96881" w:rsidP="00C96881">
      <w:pPr>
        <w:spacing w:after="0"/>
        <w:rPr>
          <w:rFonts w:ascii="Arial" w:hAnsi="Arial" w:cs="Arial"/>
          <w:sz w:val="20"/>
          <w:szCs w:val="20"/>
        </w:rPr>
      </w:pPr>
      <w:r w:rsidRPr="00435B25">
        <w:rPr>
          <w:rFonts w:ascii="Arial" w:hAnsi="Arial" w:cs="Arial"/>
          <w:sz w:val="20"/>
          <w:szCs w:val="20"/>
        </w:rPr>
        <w:t>More details can be referred to in the below link.</w:t>
      </w:r>
    </w:p>
    <w:p w:rsidR="00C96881" w:rsidRDefault="00C96881" w:rsidP="00C96881">
      <w:pPr>
        <w:spacing w:after="0"/>
        <w:rPr>
          <w:rFonts w:ascii="Arial" w:hAnsi="Arial" w:cs="Arial"/>
          <w:sz w:val="20"/>
          <w:szCs w:val="20"/>
        </w:rPr>
      </w:pPr>
      <w:r w:rsidRPr="00435B25">
        <w:rPr>
          <w:rFonts w:ascii="Arial" w:hAnsi="Arial" w:cs="Arial"/>
          <w:sz w:val="20"/>
          <w:szCs w:val="20"/>
        </w:rPr>
        <w:t>Reference Link:</w:t>
      </w:r>
      <w:r>
        <w:rPr>
          <w:rFonts w:ascii="Arial" w:hAnsi="Arial" w:cs="Arial"/>
          <w:sz w:val="20"/>
          <w:szCs w:val="20"/>
        </w:rPr>
        <w:t xml:space="preserve"> </w:t>
      </w:r>
      <w:hyperlink r:id="rId174" w:history="1">
        <w:r w:rsidRPr="00200311">
          <w:rPr>
            <w:rStyle w:val="Hyperlink"/>
            <w:rFonts w:ascii="Arial" w:hAnsi="Arial" w:cs="Arial"/>
            <w:sz w:val="20"/>
            <w:szCs w:val="20"/>
          </w:rPr>
          <w:t>https://m.rbi.org.in/scripts/FS_Notification.aspx?Id=12417&amp;fn=14&amp;Mode=0</w:t>
        </w:r>
      </w:hyperlink>
    </w:p>
    <w:p w:rsidR="00C96881" w:rsidRDefault="00C96881" w:rsidP="00C96881">
      <w:pPr>
        <w:spacing w:after="0"/>
        <w:rPr>
          <w:rFonts w:ascii="Arial" w:hAnsi="Arial" w:cs="Arial"/>
          <w:sz w:val="20"/>
          <w:szCs w:val="20"/>
        </w:rPr>
      </w:pPr>
    </w:p>
    <w:p w:rsidR="00C96881" w:rsidRDefault="00C96881" w:rsidP="00C96881">
      <w:pPr>
        <w:spacing w:after="0"/>
        <w:rPr>
          <w:rFonts w:ascii="Arial" w:hAnsi="Arial" w:cs="Arial"/>
          <w:sz w:val="20"/>
          <w:szCs w:val="20"/>
        </w:rPr>
      </w:pPr>
    </w:p>
    <w:p w:rsidR="00C96881" w:rsidRDefault="00C96881" w:rsidP="00C96881">
      <w:pPr>
        <w:spacing w:after="0"/>
        <w:rPr>
          <w:rFonts w:ascii="Arial" w:hAnsi="Arial" w:cs="Arial"/>
          <w:sz w:val="20"/>
          <w:szCs w:val="20"/>
        </w:rPr>
      </w:pPr>
    </w:p>
    <w:p w:rsidR="00C96881" w:rsidRDefault="00C96881" w:rsidP="00C96881">
      <w:pPr>
        <w:spacing w:after="0"/>
        <w:rPr>
          <w:rFonts w:ascii="Arial" w:hAnsi="Arial" w:cs="Arial"/>
          <w:sz w:val="20"/>
          <w:szCs w:val="20"/>
        </w:rPr>
      </w:pPr>
    </w:p>
    <w:p w:rsidR="00C96881" w:rsidRDefault="00C96881" w:rsidP="00C96881">
      <w:pPr>
        <w:spacing w:after="0"/>
        <w:rPr>
          <w:rFonts w:ascii="Arial" w:hAnsi="Arial" w:cs="Arial"/>
          <w:sz w:val="20"/>
          <w:szCs w:val="20"/>
        </w:rPr>
      </w:pPr>
    </w:p>
    <w:p w:rsidR="00C96881" w:rsidRDefault="00C96881" w:rsidP="00C96881">
      <w:pPr>
        <w:spacing w:after="0"/>
        <w:rPr>
          <w:rFonts w:ascii="Arial" w:hAnsi="Arial" w:cs="Arial"/>
          <w:sz w:val="20"/>
          <w:szCs w:val="20"/>
        </w:rPr>
      </w:pPr>
    </w:p>
    <w:p w:rsidR="00C96881" w:rsidRDefault="00C96881" w:rsidP="00C96881">
      <w:pPr>
        <w:spacing w:after="0"/>
        <w:rPr>
          <w:rFonts w:ascii="Arial" w:hAnsi="Arial" w:cs="Arial"/>
          <w:sz w:val="20"/>
          <w:szCs w:val="20"/>
        </w:rPr>
      </w:pPr>
    </w:p>
    <w:p w:rsidR="00C96881" w:rsidRDefault="00C96881" w:rsidP="00C96881">
      <w:pPr>
        <w:spacing w:after="0"/>
        <w:rPr>
          <w:rFonts w:ascii="Arial" w:hAnsi="Arial" w:cs="Arial"/>
          <w:sz w:val="20"/>
          <w:szCs w:val="20"/>
        </w:rPr>
      </w:pPr>
    </w:p>
    <w:p w:rsidR="00C96881" w:rsidRDefault="00C96881" w:rsidP="00C96881">
      <w:pPr>
        <w:spacing w:after="0"/>
        <w:rPr>
          <w:rFonts w:ascii="Arial" w:hAnsi="Arial" w:cs="Arial"/>
          <w:sz w:val="20"/>
          <w:szCs w:val="20"/>
        </w:rPr>
      </w:pPr>
    </w:p>
    <w:p w:rsidR="00C96881" w:rsidRDefault="00C96881" w:rsidP="0001090D">
      <w:pPr>
        <w:rPr>
          <w:rFonts w:ascii="Arial" w:hAnsi="Arial" w:cs="Arial"/>
          <w:bCs/>
          <w:color w:val="000000"/>
          <w:sz w:val="20"/>
          <w:szCs w:val="20"/>
        </w:rPr>
      </w:pPr>
    </w:p>
    <w:p w:rsidR="00C96881" w:rsidRDefault="00C96881" w:rsidP="00C96881">
      <w:pPr>
        <w:rPr>
          <w:rFonts w:ascii="Arial" w:hAnsi="Arial" w:cs="Arial"/>
          <w:b/>
          <w:bCs/>
          <w:color w:val="000000"/>
          <w:sz w:val="20"/>
          <w:szCs w:val="20"/>
        </w:rPr>
      </w:pPr>
      <w:r>
        <w:rPr>
          <w:rFonts w:ascii="Arial" w:hAnsi="Arial" w:cs="Arial"/>
          <w:b/>
          <w:bCs/>
          <w:color w:val="000000"/>
          <w:sz w:val="20"/>
          <w:szCs w:val="20"/>
        </w:rPr>
        <w:t>Revised Regulatory Framework for Urban Co-operative Banks (UCBs) – Net Worth and Capital Adequacy</w:t>
      </w:r>
    </w:p>
    <w:p w:rsidR="00C96881" w:rsidRDefault="00C96881" w:rsidP="00C96881">
      <w:pPr>
        <w:pStyle w:val="NormalWeb"/>
        <w:jc w:val="both"/>
        <w:rPr>
          <w:rFonts w:ascii="Arial" w:hAnsi="Arial" w:cs="Arial"/>
          <w:color w:val="000000"/>
          <w:sz w:val="20"/>
          <w:szCs w:val="20"/>
        </w:rPr>
      </w:pPr>
      <w:r>
        <w:rPr>
          <w:rFonts w:ascii="Arial" w:hAnsi="Arial" w:cs="Arial"/>
          <w:color w:val="000000"/>
          <w:sz w:val="20"/>
          <w:szCs w:val="20"/>
        </w:rPr>
        <w:t>RBI/2022-23/146</w:t>
      </w:r>
      <w:r>
        <w:rPr>
          <w:rFonts w:ascii="Arial" w:hAnsi="Arial" w:cs="Arial"/>
          <w:color w:val="000000"/>
          <w:sz w:val="20"/>
          <w:szCs w:val="20"/>
        </w:rPr>
        <w:br/>
        <w:t>DOR.CAP.REC.No.86/09.18.201/2022-23</w:t>
      </w:r>
    </w:p>
    <w:p w:rsidR="00C96881" w:rsidRDefault="00C96881" w:rsidP="00C96881">
      <w:pPr>
        <w:pStyle w:val="NormalWeb"/>
        <w:jc w:val="right"/>
        <w:rPr>
          <w:rFonts w:ascii="Arial" w:hAnsi="Arial" w:cs="Arial"/>
          <w:color w:val="000000"/>
          <w:sz w:val="20"/>
          <w:szCs w:val="20"/>
        </w:rPr>
      </w:pPr>
      <w:r>
        <w:rPr>
          <w:rFonts w:ascii="Arial" w:hAnsi="Arial" w:cs="Arial"/>
          <w:color w:val="000000"/>
          <w:sz w:val="20"/>
          <w:szCs w:val="20"/>
        </w:rPr>
        <w:t>December 1, 2022</w:t>
      </w:r>
    </w:p>
    <w:p w:rsidR="00C96881" w:rsidRDefault="00C96881" w:rsidP="00C96881">
      <w:pPr>
        <w:pStyle w:val="NormalWeb"/>
        <w:jc w:val="both"/>
        <w:rPr>
          <w:rFonts w:ascii="Arial" w:hAnsi="Arial" w:cs="Arial"/>
          <w:color w:val="000000"/>
          <w:sz w:val="20"/>
          <w:szCs w:val="20"/>
        </w:rPr>
      </w:pPr>
      <w:r>
        <w:rPr>
          <w:rFonts w:ascii="Arial" w:hAnsi="Arial" w:cs="Arial"/>
          <w:color w:val="000000"/>
          <w:sz w:val="20"/>
          <w:szCs w:val="20"/>
        </w:rPr>
        <w:t>Dear Sir/Madam,</w:t>
      </w:r>
    </w:p>
    <w:p w:rsidR="00C96881" w:rsidRDefault="00C96881" w:rsidP="00C96881">
      <w:pPr>
        <w:pStyle w:val="head"/>
        <w:jc w:val="both"/>
        <w:rPr>
          <w:rFonts w:ascii="Arial" w:hAnsi="Arial" w:cs="Arial"/>
          <w:b/>
          <w:bCs/>
          <w:color w:val="000000"/>
          <w:sz w:val="20"/>
          <w:szCs w:val="20"/>
        </w:rPr>
      </w:pPr>
      <w:r>
        <w:rPr>
          <w:rFonts w:ascii="Arial" w:hAnsi="Arial" w:cs="Arial"/>
          <w:b/>
          <w:bCs/>
          <w:color w:val="000000"/>
          <w:sz w:val="20"/>
          <w:szCs w:val="20"/>
        </w:rPr>
        <w:t>Revised Regulatory Framework for Urban Co-operative Banks (UCBs) – Net Worth and Capital Adequacy</w:t>
      </w:r>
    </w:p>
    <w:p w:rsidR="00C96881" w:rsidRDefault="00C96881" w:rsidP="00C96881">
      <w:pPr>
        <w:pStyle w:val="NormalWeb"/>
        <w:jc w:val="both"/>
        <w:rPr>
          <w:rFonts w:ascii="Arial" w:hAnsi="Arial" w:cs="Arial"/>
          <w:color w:val="000000"/>
          <w:sz w:val="20"/>
          <w:szCs w:val="20"/>
        </w:rPr>
      </w:pPr>
      <w:r>
        <w:rPr>
          <w:rFonts w:ascii="Arial" w:hAnsi="Arial" w:cs="Arial"/>
          <w:color w:val="000000"/>
          <w:sz w:val="20"/>
          <w:szCs w:val="20"/>
        </w:rPr>
        <w:t>Please refer to the Revised Regulatory Framework for Urban Co-operative Banks (UCBs) emanating from the recommendations of Expert Committee on Urban Co-operative Banks (</w:t>
      </w:r>
      <w:hyperlink r:id="rId175" w:tgtFrame="_blank" w:history="1">
        <w:r>
          <w:rPr>
            <w:rStyle w:val="Hyperlink"/>
            <w:rFonts w:ascii="Arial" w:hAnsi="Arial" w:cs="Arial"/>
            <w:sz w:val="20"/>
            <w:szCs w:val="20"/>
          </w:rPr>
          <w:t>Press Release: 2022-2023/561 dated July 19, 2022</w:t>
        </w:r>
      </w:hyperlink>
      <w:r>
        <w:rPr>
          <w:rFonts w:ascii="Arial" w:hAnsi="Arial" w:cs="Arial"/>
          <w:color w:val="000000"/>
          <w:sz w:val="20"/>
          <w:szCs w:val="20"/>
        </w:rPr>
        <w:t>) and </w:t>
      </w:r>
      <w:hyperlink r:id="rId176" w:tgtFrame="_blank" w:history="1">
        <w:r>
          <w:rPr>
            <w:rStyle w:val="Hyperlink"/>
            <w:rFonts w:ascii="Arial" w:hAnsi="Arial" w:cs="Arial"/>
            <w:sz w:val="20"/>
            <w:szCs w:val="20"/>
          </w:rPr>
          <w:t>circular no. DOR.REG.No.84/07.01.000/2022-23 dated December 1, 2022</w:t>
        </w:r>
      </w:hyperlink>
      <w:r>
        <w:rPr>
          <w:rFonts w:ascii="Arial" w:hAnsi="Arial" w:cs="Arial"/>
          <w:color w:val="000000"/>
          <w:sz w:val="20"/>
          <w:szCs w:val="20"/>
        </w:rPr>
        <w:t>, on Revised Regulatory Framework - Categorization of Urban Co-operative Banks (UCBs) for Regulatory Purposes. The detailed guidelines are provided below:</w:t>
      </w:r>
    </w:p>
    <w:p w:rsidR="00C96881" w:rsidRDefault="00C96881" w:rsidP="00C96881">
      <w:pPr>
        <w:pStyle w:val="head"/>
        <w:jc w:val="both"/>
        <w:rPr>
          <w:rFonts w:ascii="Arial" w:hAnsi="Arial" w:cs="Arial"/>
          <w:b/>
          <w:bCs/>
          <w:color w:val="000000"/>
          <w:sz w:val="20"/>
          <w:szCs w:val="20"/>
        </w:rPr>
      </w:pPr>
      <w:r>
        <w:rPr>
          <w:rFonts w:ascii="Arial" w:hAnsi="Arial" w:cs="Arial"/>
          <w:b/>
          <w:bCs/>
          <w:color w:val="000000"/>
          <w:sz w:val="20"/>
          <w:szCs w:val="20"/>
        </w:rPr>
        <w:t>A. Net Worth</w:t>
      </w:r>
    </w:p>
    <w:p w:rsidR="00C96881" w:rsidRDefault="00C96881" w:rsidP="00C96881">
      <w:pPr>
        <w:pStyle w:val="NormalWeb"/>
        <w:spacing w:after="0" w:afterAutospacing="0"/>
        <w:jc w:val="both"/>
        <w:rPr>
          <w:rFonts w:ascii="Arial" w:hAnsi="Arial" w:cs="Arial"/>
          <w:color w:val="000000"/>
          <w:sz w:val="20"/>
          <w:szCs w:val="20"/>
        </w:rPr>
      </w:pPr>
      <w:r>
        <w:rPr>
          <w:rFonts w:ascii="Arial" w:hAnsi="Arial" w:cs="Arial"/>
          <w:color w:val="000000"/>
          <w:sz w:val="20"/>
          <w:szCs w:val="20"/>
        </w:rPr>
        <w:t>2. UCBs shall have minimum net worth as under:</w:t>
      </w:r>
    </w:p>
    <w:p w:rsidR="00C96881" w:rsidRDefault="00C96881" w:rsidP="00DA1141">
      <w:pPr>
        <w:pStyle w:val="NormalWeb"/>
        <w:numPr>
          <w:ilvl w:val="0"/>
          <w:numId w:val="15"/>
        </w:numPr>
        <w:spacing w:before="0" w:beforeAutospacing="0"/>
        <w:ind w:left="0"/>
        <w:jc w:val="both"/>
        <w:rPr>
          <w:rFonts w:ascii="Arial" w:hAnsi="Arial" w:cs="Arial"/>
          <w:color w:val="000000"/>
          <w:sz w:val="20"/>
          <w:szCs w:val="20"/>
        </w:rPr>
      </w:pPr>
      <w:r>
        <w:rPr>
          <w:rFonts w:ascii="Arial" w:hAnsi="Arial" w:cs="Arial"/>
          <w:color w:val="000000"/>
          <w:sz w:val="20"/>
          <w:szCs w:val="20"/>
        </w:rPr>
        <w:t xml:space="preserve">Tier 1 UCBs operating in a single district shall have minimum net worth of ₹2 </w:t>
      </w:r>
      <w:proofErr w:type="gramStart"/>
      <w:r>
        <w:rPr>
          <w:rFonts w:ascii="Arial" w:hAnsi="Arial" w:cs="Arial"/>
          <w:color w:val="000000"/>
          <w:sz w:val="20"/>
          <w:szCs w:val="20"/>
        </w:rPr>
        <w:t>crore</w:t>
      </w:r>
      <w:proofErr w:type="gramEnd"/>
      <w:r>
        <w:rPr>
          <w:rFonts w:ascii="Arial" w:hAnsi="Arial" w:cs="Arial"/>
          <w:color w:val="000000"/>
          <w:sz w:val="20"/>
          <w:szCs w:val="20"/>
        </w:rPr>
        <w:t>.</w:t>
      </w:r>
    </w:p>
    <w:p w:rsidR="00C96881" w:rsidRDefault="00C96881" w:rsidP="00DA1141">
      <w:pPr>
        <w:pStyle w:val="NormalWeb"/>
        <w:numPr>
          <w:ilvl w:val="0"/>
          <w:numId w:val="15"/>
        </w:numPr>
        <w:ind w:left="0"/>
        <w:jc w:val="both"/>
        <w:rPr>
          <w:rFonts w:ascii="Arial" w:hAnsi="Arial" w:cs="Arial"/>
          <w:color w:val="000000"/>
          <w:sz w:val="20"/>
          <w:szCs w:val="20"/>
        </w:rPr>
      </w:pPr>
      <w:r>
        <w:rPr>
          <w:rFonts w:ascii="Arial" w:hAnsi="Arial" w:cs="Arial"/>
          <w:color w:val="000000"/>
          <w:sz w:val="20"/>
          <w:szCs w:val="20"/>
        </w:rPr>
        <w:t xml:space="preserve">All other UCBs (of all tiers) shall have minimum net worth of ₹5 </w:t>
      </w:r>
      <w:proofErr w:type="gramStart"/>
      <w:r>
        <w:rPr>
          <w:rFonts w:ascii="Arial" w:hAnsi="Arial" w:cs="Arial"/>
          <w:color w:val="000000"/>
          <w:sz w:val="20"/>
          <w:szCs w:val="20"/>
        </w:rPr>
        <w:t>crore</w:t>
      </w:r>
      <w:proofErr w:type="gramEnd"/>
      <w:r>
        <w:rPr>
          <w:rFonts w:ascii="Arial" w:hAnsi="Arial" w:cs="Arial"/>
          <w:color w:val="000000"/>
          <w:sz w:val="20"/>
          <w:szCs w:val="20"/>
        </w:rPr>
        <w:t>.</w:t>
      </w:r>
    </w:p>
    <w:p w:rsidR="00C96881" w:rsidRDefault="00C96881" w:rsidP="00DA1141">
      <w:pPr>
        <w:pStyle w:val="NormalWeb"/>
        <w:numPr>
          <w:ilvl w:val="0"/>
          <w:numId w:val="15"/>
        </w:numPr>
        <w:spacing w:after="0" w:afterAutospacing="0"/>
        <w:ind w:left="0"/>
        <w:jc w:val="both"/>
        <w:rPr>
          <w:rFonts w:ascii="Arial" w:hAnsi="Arial" w:cs="Arial"/>
          <w:color w:val="000000"/>
          <w:sz w:val="20"/>
          <w:szCs w:val="20"/>
        </w:rPr>
      </w:pPr>
      <w:r>
        <w:rPr>
          <w:rFonts w:ascii="Arial" w:hAnsi="Arial" w:cs="Arial"/>
          <w:color w:val="000000"/>
          <w:sz w:val="20"/>
          <w:szCs w:val="20"/>
        </w:rPr>
        <w:t xml:space="preserve">UCBs which currently do not meet the minimum net worth requirement, as above, shall achieve the minimum net worth of ₹2 crore or ₹5 </w:t>
      </w:r>
      <w:proofErr w:type="gramStart"/>
      <w:r>
        <w:rPr>
          <w:rFonts w:ascii="Arial" w:hAnsi="Arial" w:cs="Arial"/>
          <w:color w:val="000000"/>
          <w:sz w:val="20"/>
          <w:szCs w:val="20"/>
        </w:rPr>
        <w:t>crore</w:t>
      </w:r>
      <w:proofErr w:type="gramEnd"/>
      <w:r>
        <w:rPr>
          <w:rFonts w:ascii="Arial" w:hAnsi="Arial" w:cs="Arial"/>
          <w:color w:val="000000"/>
          <w:sz w:val="20"/>
          <w:szCs w:val="20"/>
        </w:rPr>
        <w:t xml:space="preserve"> (as applicable) in a phased manner. Such UCBs shall achieve at least 50 per cent of the applicable minimum net worth on or before March 31, 2026 and the entire stipulated minimum net worth on or before March 31, 2028.</w:t>
      </w:r>
    </w:p>
    <w:p w:rsidR="00C96881" w:rsidRDefault="00C96881" w:rsidP="00C96881">
      <w:pPr>
        <w:pStyle w:val="head"/>
        <w:jc w:val="both"/>
        <w:rPr>
          <w:rFonts w:ascii="Arial" w:hAnsi="Arial" w:cs="Arial"/>
          <w:b/>
          <w:bCs/>
          <w:color w:val="000000"/>
          <w:sz w:val="20"/>
          <w:szCs w:val="20"/>
        </w:rPr>
      </w:pPr>
      <w:r>
        <w:rPr>
          <w:rFonts w:ascii="Arial" w:hAnsi="Arial" w:cs="Arial"/>
          <w:b/>
          <w:bCs/>
          <w:color w:val="000000"/>
          <w:sz w:val="20"/>
          <w:szCs w:val="20"/>
        </w:rPr>
        <w:t>B. Minimum capital to risk weighted assets ratio (CRAR) requirement</w:t>
      </w:r>
    </w:p>
    <w:p w:rsidR="00C96881" w:rsidRDefault="00C96881" w:rsidP="00C96881">
      <w:pPr>
        <w:pStyle w:val="NormalWeb"/>
        <w:spacing w:after="0" w:afterAutospacing="0"/>
        <w:jc w:val="both"/>
        <w:rPr>
          <w:rFonts w:ascii="Arial" w:hAnsi="Arial" w:cs="Arial"/>
          <w:color w:val="000000"/>
          <w:sz w:val="20"/>
          <w:szCs w:val="20"/>
        </w:rPr>
      </w:pPr>
      <w:r>
        <w:rPr>
          <w:rFonts w:ascii="Arial" w:hAnsi="Arial" w:cs="Arial"/>
          <w:color w:val="000000"/>
          <w:sz w:val="20"/>
          <w:szCs w:val="20"/>
        </w:rPr>
        <w:t>3. UCBs shall maintain minimum CRAR as under:</w:t>
      </w:r>
    </w:p>
    <w:p w:rsidR="00C96881" w:rsidRDefault="00C96881" w:rsidP="00DA1141">
      <w:pPr>
        <w:pStyle w:val="NormalWeb"/>
        <w:numPr>
          <w:ilvl w:val="0"/>
          <w:numId w:val="16"/>
        </w:numPr>
        <w:spacing w:before="0" w:beforeAutospacing="0"/>
        <w:ind w:left="0"/>
        <w:jc w:val="both"/>
        <w:rPr>
          <w:rFonts w:ascii="Arial" w:hAnsi="Arial" w:cs="Arial"/>
          <w:color w:val="000000"/>
          <w:sz w:val="20"/>
          <w:szCs w:val="20"/>
        </w:rPr>
      </w:pPr>
      <w:r>
        <w:rPr>
          <w:rFonts w:ascii="Arial" w:hAnsi="Arial" w:cs="Arial"/>
          <w:color w:val="000000"/>
          <w:sz w:val="20"/>
          <w:szCs w:val="20"/>
        </w:rPr>
        <w:t>Tier 1 UCBs shall maintain, as hitherto, a minimum CRAR of 9 per cent of Risk Weighted Assets (RWAs) on an ongoing basis.</w:t>
      </w:r>
    </w:p>
    <w:p w:rsidR="00C96881" w:rsidRDefault="00C96881" w:rsidP="00DA1141">
      <w:pPr>
        <w:pStyle w:val="NormalWeb"/>
        <w:numPr>
          <w:ilvl w:val="0"/>
          <w:numId w:val="16"/>
        </w:numPr>
        <w:ind w:left="0"/>
        <w:jc w:val="both"/>
        <w:rPr>
          <w:rFonts w:ascii="Arial" w:hAnsi="Arial" w:cs="Arial"/>
          <w:color w:val="000000"/>
          <w:sz w:val="20"/>
          <w:szCs w:val="20"/>
        </w:rPr>
      </w:pPr>
      <w:r>
        <w:rPr>
          <w:rFonts w:ascii="Arial" w:hAnsi="Arial" w:cs="Arial"/>
          <w:color w:val="000000"/>
          <w:sz w:val="20"/>
          <w:szCs w:val="20"/>
        </w:rPr>
        <w:t>Tier 2 to 4 UCBs shall maintain a minimum CRAR of 12 per cent of RWAs on an ongoing basis.</w:t>
      </w:r>
    </w:p>
    <w:p w:rsidR="00C96881" w:rsidRDefault="00C96881" w:rsidP="00DA1141">
      <w:pPr>
        <w:pStyle w:val="NormalWeb"/>
        <w:numPr>
          <w:ilvl w:val="0"/>
          <w:numId w:val="16"/>
        </w:numPr>
        <w:spacing w:after="0" w:afterAutospacing="0"/>
        <w:ind w:left="0"/>
        <w:jc w:val="both"/>
        <w:rPr>
          <w:rFonts w:ascii="Arial" w:hAnsi="Arial" w:cs="Arial"/>
          <w:color w:val="000000"/>
          <w:sz w:val="20"/>
          <w:szCs w:val="20"/>
        </w:rPr>
      </w:pPr>
      <w:r>
        <w:rPr>
          <w:rFonts w:ascii="Arial" w:hAnsi="Arial" w:cs="Arial"/>
          <w:color w:val="000000"/>
          <w:sz w:val="20"/>
          <w:szCs w:val="20"/>
        </w:rPr>
        <w:t>UCBs in Tier 2 to 4, which do not currently meet the revised CRAR of 12 per cent of RWAs, shall achieve the same in a phased manner. Such UCBs shall achieve the CRAR of at least 10 per cent by March 31, 2024, 11 per cent by March 31, 2025, and 12 per cent by March 31, 2026.</w:t>
      </w:r>
    </w:p>
    <w:p w:rsidR="00C96881" w:rsidRDefault="00C96881" w:rsidP="00C96881">
      <w:pPr>
        <w:pStyle w:val="head"/>
        <w:jc w:val="both"/>
        <w:rPr>
          <w:rFonts w:ascii="Arial" w:hAnsi="Arial" w:cs="Arial"/>
          <w:b/>
          <w:bCs/>
          <w:color w:val="000000"/>
          <w:sz w:val="20"/>
          <w:szCs w:val="20"/>
        </w:rPr>
      </w:pPr>
      <w:r>
        <w:rPr>
          <w:rFonts w:ascii="Arial" w:hAnsi="Arial" w:cs="Arial"/>
          <w:b/>
          <w:bCs/>
          <w:color w:val="000000"/>
          <w:sz w:val="20"/>
          <w:szCs w:val="20"/>
        </w:rPr>
        <w:t>C. Revaluation Reserves</w:t>
      </w:r>
    </w:p>
    <w:p w:rsidR="00C96881" w:rsidRDefault="00C96881" w:rsidP="00C96881">
      <w:pPr>
        <w:pStyle w:val="NormalWeb"/>
        <w:spacing w:after="0" w:afterAutospacing="0"/>
        <w:jc w:val="both"/>
        <w:rPr>
          <w:rFonts w:ascii="Arial" w:hAnsi="Arial" w:cs="Arial"/>
          <w:color w:val="000000"/>
          <w:sz w:val="20"/>
          <w:szCs w:val="20"/>
        </w:rPr>
      </w:pPr>
      <w:r>
        <w:rPr>
          <w:rFonts w:ascii="Arial" w:hAnsi="Arial" w:cs="Arial"/>
          <w:color w:val="000000"/>
          <w:sz w:val="20"/>
          <w:szCs w:val="20"/>
        </w:rPr>
        <w:t xml:space="preserve">5. Revaluation reserves, arising out of change in the carrying amount of a bank’s property consequent upon its revaluation, may henceforth be reckoned as Tier 1 capital at a discount of 55 per cent. </w:t>
      </w:r>
    </w:p>
    <w:p w:rsidR="00C96881" w:rsidRDefault="00C96881" w:rsidP="00C96881">
      <w:pPr>
        <w:pStyle w:val="NormalWeb"/>
        <w:spacing w:after="0" w:afterAutospacing="0"/>
        <w:jc w:val="both"/>
        <w:rPr>
          <w:rFonts w:ascii="Arial" w:hAnsi="Arial" w:cs="Arial"/>
          <w:color w:val="000000"/>
          <w:sz w:val="20"/>
          <w:szCs w:val="20"/>
        </w:rPr>
      </w:pPr>
      <w:r>
        <w:rPr>
          <w:rFonts w:ascii="Arial" w:hAnsi="Arial" w:cs="Arial"/>
          <w:color w:val="000000"/>
          <w:sz w:val="20"/>
          <w:szCs w:val="20"/>
        </w:rPr>
        <w:t>Yours faithfully,</w:t>
      </w:r>
    </w:p>
    <w:p w:rsidR="00C96881" w:rsidRDefault="00C96881" w:rsidP="00C96881">
      <w:pPr>
        <w:pStyle w:val="NormalWeb"/>
        <w:spacing w:before="0" w:beforeAutospacing="0"/>
        <w:rPr>
          <w:rFonts w:ascii="Arial" w:hAnsi="Arial" w:cs="Arial"/>
          <w:color w:val="000000"/>
          <w:sz w:val="20"/>
          <w:szCs w:val="20"/>
        </w:rPr>
      </w:pPr>
      <w:r>
        <w:rPr>
          <w:rFonts w:ascii="Arial" w:hAnsi="Arial" w:cs="Arial"/>
          <w:color w:val="000000"/>
          <w:sz w:val="20"/>
          <w:szCs w:val="20"/>
        </w:rPr>
        <w:t>(</w:t>
      </w:r>
      <w:proofErr w:type="spellStart"/>
      <w:r>
        <w:rPr>
          <w:rFonts w:ascii="Arial" w:hAnsi="Arial" w:cs="Arial"/>
          <w:color w:val="000000"/>
          <w:sz w:val="20"/>
          <w:szCs w:val="20"/>
        </w:rPr>
        <w:t>Usha</w:t>
      </w:r>
      <w:proofErr w:type="spellEnd"/>
      <w:r>
        <w:rPr>
          <w:rFonts w:ascii="Arial" w:hAnsi="Arial" w:cs="Arial"/>
          <w:color w:val="000000"/>
          <w:sz w:val="20"/>
          <w:szCs w:val="20"/>
        </w:rPr>
        <w:t xml:space="preserve"> </w:t>
      </w:r>
      <w:proofErr w:type="spellStart"/>
      <w:r>
        <w:rPr>
          <w:rFonts w:ascii="Arial" w:hAnsi="Arial" w:cs="Arial"/>
          <w:color w:val="000000"/>
          <w:sz w:val="20"/>
          <w:szCs w:val="20"/>
        </w:rPr>
        <w:t>Janakiraman</w:t>
      </w:r>
      <w:proofErr w:type="spellEnd"/>
      <w:r>
        <w:rPr>
          <w:rFonts w:ascii="Arial" w:hAnsi="Arial" w:cs="Arial"/>
          <w:color w:val="000000"/>
          <w:sz w:val="20"/>
          <w:szCs w:val="20"/>
        </w:rPr>
        <w:t>)</w:t>
      </w:r>
      <w:r>
        <w:rPr>
          <w:rFonts w:ascii="Arial" w:hAnsi="Arial" w:cs="Arial"/>
          <w:color w:val="000000"/>
          <w:sz w:val="20"/>
          <w:szCs w:val="20"/>
        </w:rPr>
        <w:br/>
        <w:t>Chief General Manager</w:t>
      </w:r>
    </w:p>
    <w:p w:rsidR="00C96881" w:rsidRDefault="00C96881" w:rsidP="00C96881">
      <w:pPr>
        <w:rPr>
          <w:rFonts w:ascii="Arial" w:hAnsi="Arial" w:cs="Arial"/>
          <w:sz w:val="20"/>
          <w:szCs w:val="20"/>
        </w:rPr>
      </w:pPr>
    </w:p>
    <w:p w:rsidR="00C96881" w:rsidRDefault="00C96881" w:rsidP="00C96881">
      <w:pPr>
        <w:rPr>
          <w:rFonts w:ascii="Arial" w:hAnsi="Arial" w:cs="Arial"/>
          <w:sz w:val="20"/>
          <w:szCs w:val="20"/>
        </w:rPr>
      </w:pPr>
    </w:p>
    <w:p w:rsidR="00C96881" w:rsidRDefault="00C96881" w:rsidP="00C96881">
      <w:r>
        <w:lastRenderedPageBreak/>
        <w:t>More details can be referred to in the below link.</w:t>
      </w:r>
    </w:p>
    <w:p w:rsidR="00C96881" w:rsidRDefault="00C96881" w:rsidP="00C96881">
      <w:pPr>
        <w:rPr>
          <w:rFonts w:ascii="Arial" w:hAnsi="Arial" w:cs="Arial"/>
          <w:bCs/>
          <w:color w:val="000000"/>
          <w:sz w:val="20"/>
          <w:szCs w:val="20"/>
        </w:rPr>
      </w:pPr>
      <w:r>
        <w:rPr>
          <w:rFonts w:ascii="Arial" w:hAnsi="Arial" w:cs="Arial"/>
          <w:bCs/>
          <w:color w:val="000000"/>
          <w:sz w:val="20"/>
          <w:szCs w:val="20"/>
        </w:rPr>
        <w:t xml:space="preserve">Reference Link: </w:t>
      </w:r>
      <w:hyperlink r:id="rId177" w:anchor=":~:text=UCBs%20shall%20have%20minimum%20net,worth%20of%20%E2%82%B95%20crore" w:history="1">
        <w:r w:rsidRPr="00735218">
          <w:rPr>
            <w:rStyle w:val="Hyperlink"/>
            <w:rFonts w:ascii="Arial" w:hAnsi="Arial" w:cs="Arial"/>
            <w:bCs/>
            <w:sz w:val="20"/>
            <w:szCs w:val="20"/>
          </w:rPr>
          <w:t>https://m.rbi.org.in/scripts/FS_Notification.aspx?Id=12418&amp;fn=2755&amp;Mode=0#:~:text=UCBs%20shall%20have%20minimum%20net,worth%20of%20%E2%82%B95%20crore</w:t>
        </w:r>
      </w:hyperlink>
      <w:r w:rsidRPr="00587F28">
        <w:rPr>
          <w:rFonts w:ascii="Arial" w:hAnsi="Arial" w:cs="Arial"/>
          <w:bCs/>
          <w:color w:val="000000"/>
          <w:sz w:val="20"/>
          <w:szCs w:val="20"/>
        </w:rPr>
        <w:t>.</w:t>
      </w:r>
    </w:p>
    <w:p w:rsidR="00C96881" w:rsidRDefault="00C96881" w:rsidP="00C96881">
      <w:pPr>
        <w:pStyle w:val="NormalWeb"/>
        <w:rPr>
          <w:rFonts w:ascii="Arial" w:hAnsi="Arial" w:cs="Arial"/>
          <w:b/>
          <w:bCs/>
          <w:color w:val="000000"/>
          <w:sz w:val="20"/>
          <w:szCs w:val="20"/>
        </w:rPr>
      </w:pPr>
      <w:r>
        <w:rPr>
          <w:rFonts w:ascii="Arial" w:hAnsi="Arial" w:cs="Arial"/>
          <w:b/>
          <w:bCs/>
          <w:color w:val="000000"/>
          <w:sz w:val="20"/>
          <w:szCs w:val="20"/>
        </w:rPr>
        <w:t>Review of SLR holdings in HTM category</w:t>
      </w:r>
    </w:p>
    <w:p w:rsidR="00C96881" w:rsidRDefault="00C96881" w:rsidP="00C96881">
      <w:pPr>
        <w:pStyle w:val="NormalWeb"/>
        <w:jc w:val="both"/>
        <w:rPr>
          <w:rFonts w:ascii="Arial" w:hAnsi="Arial" w:cs="Arial"/>
          <w:color w:val="000000"/>
          <w:sz w:val="20"/>
          <w:szCs w:val="20"/>
        </w:rPr>
      </w:pPr>
      <w:r>
        <w:rPr>
          <w:rFonts w:ascii="Arial" w:hAnsi="Arial" w:cs="Arial"/>
          <w:color w:val="000000"/>
          <w:sz w:val="20"/>
          <w:szCs w:val="20"/>
        </w:rPr>
        <w:t>RBI/2022-23/150</w:t>
      </w:r>
      <w:r>
        <w:rPr>
          <w:rFonts w:ascii="Arial" w:hAnsi="Arial" w:cs="Arial"/>
          <w:color w:val="000000"/>
          <w:sz w:val="20"/>
          <w:szCs w:val="20"/>
        </w:rPr>
        <w:br/>
        <w:t>DOR.MRG.REC.89/21.04.141/2022-23</w:t>
      </w:r>
    </w:p>
    <w:p w:rsidR="00C96881" w:rsidRDefault="00C96881" w:rsidP="00C96881">
      <w:pPr>
        <w:pStyle w:val="NormalWeb"/>
        <w:jc w:val="right"/>
        <w:rPr>
          <w:rFonts w:ascii="Arial" w:hAnsi="Arial" w:cs="Arial"/>
          <w:color w:val="000000"/>
          <w:sz w:val="20"/>
          <w:szCs w:val="20"/>
        </w:rPr>
      </w:pPr>
      <w:r>
        <w:rPr>
          <w:rFonts w:ascii="Arial" w:hAnsi="Arial" w:cs="Arial"/>
          <w:color w:val="000000"/>
          <w:sz w:val="20"/>
          <w:szCs w:val="20"/>
        </w:rPr>
        <w:t>December 8, 2022</w:t>
      </w:r>
    </w:p>
    <w:p w:rsidR="00C96881" w:rsidRDefault="00C96881" w:rsidP="00C96881">
      <w:pPr>
        <w:pStyle w:val="head"/>
        <w:jc w:val="both"/>
        <w:rPr>
          <w:rFonts w:ascii="Arial" w:hAnsi="Arial" w:cs="Arial"/>
          <w:b/>
          <w:bCs/>
          <w:color w:val="000000"/>
          <w:sz w:val="20"/>
          <w:szCs w:val="20"/>
        </w:rPr>
      </w:pPr>
      <w:r>
        <w:rPr>
          <w:rFonts w:ascii="Arial" w:hAnsi="Arial" w:cs="Arial"/>
          <w:b/>
          <w:bCs/>
          <w:color w:val="000000"/>
          <w:sz w:val="20"/>
          <w:szCs w:val="20"/>
        </w:rPr>
        <w:t>Review of SLR holdings in HTM category</w:t>
      </w:r>
    </w:p>
    <w:p w:rsidR="00C96881" w:rsidRDefault="00C96881" w:rsidP="00C96881">
      <w:pPr>
        <w:pStyle w:val="NormalWeb"/>
        <w:jc w:val="both"/>
        <w:rPr>
          <w:rFonts w:ascii="Arial" w:hAnsi="Arial" w:cs="Arial"/>
          <w:color w:val="000000"/>
          <w:sz w:val="20"/>
          <w:szCs w:val="20"/>
        </w:rPr>
      </w:pPr>
      <w:r>
        <w:rPr>
          <w:rFonts w:ascii="Arial" w:hAnsi="Arial" w:cs="Arial"/>
          <w:color w:val="000000"/>
          <w:sz w:val="20"/>
          <w:szCs w:val="20"/>
        </w:rPr>
        <w:t>Please refer to paragraph 1 of </w:t>
      </w:r>
      <w:hyperlink r:id="rId178" w:tgtFrame="_blank" w:history="1">
        <w:r>
          <w:rPr>
            <w:rStyle w:val="Hyperlink"/>
            <w:rFonts w:ascii="Arial" w:hAnsi="Arial" w:cs="Arial"/>
            <w:sz w:val="20"/>
            <w:szCs w:val="20"/>
          </w:rPr>
          <w:t>Statement on Development and Regulatory Policies</w:t>
        </w:r>
      </w:hyperlink>
      <w:r>
        <w:rPr>
          <w:rFonts w:ascii="Arial" w:hAnsi="Arial" w:cs="Arial"/>
          <w:color w:val="000000"/>
          <w:sz w:val="20"/>
          <w:szCs w:val="20"/>
        </w:rPr>
        <w:t> of the </w:t>
      </w:r>
      <w:hyperlink r:id="rId179" w:tgtFrame="_blank" w:history="1">
        <w:r>
          <w:rPr>
            <w:rStyle w:val="Hyperlink"/>
            <w:rFonts w:ascii="Arial" w:hAnsi="Arial" w:cs="Arial"/>
            <w:sz w:val="20"/>
            <w:szCs w:val="20"/>
          </w:rPr>
          <w:t>Monetary Policy Statement, 2022-23 dated December 7, 2022</w:t>
        </w:r>
      </w:hyperlink>
      <w:r>
        <w:rPr>
          <w:rFonts w:ascii="Arial" w:hAnsi="Arial" w:cs="Arial"/>
          <w:color w:val="000000"/>
          <w:sz w:val="20"/>
          <w:szCs w:val="20"/>
        </w:rPr>
        <w:t> and Section 6(iv)(a) of </w:t>
      </w:r>
      <w:hyperlink r:id="rId180" w:tgtFrame="_blank" w:history="1">
        <w:r>
          <w:rPr>
            <w:rStyle w:val="Hyperlink"/>
            <w:rFonts w:ascii="Arial" w:hAnsi="Arial" w:cs="Arial"/>
            <w:sz w:val="20"/>
            <w:szCs w:val="20"/>
          </w:rPr>
          <w:t>Master Direction - Classification, Valuation and Operation of Investment Portfolio of Commercial Banks (Directions), 2021 dated August 25, 2021</w:t>
        </w:r>
      </w:hyperlink>
      <w:r>
        <w:rPr>
          <w:rFonts w:ascii="Arial" w:hAnsi="Arial" w:cs="Arial"/>
          <w:color w:val="000000"/>
          <w:sz w:val="20"/>
          <w:szCs w:val="20"/>
        </w:rPr>
        <w:t>.</w:t>
      </w:r>
    </w:p>
    <w:p w:rsidR="00C96881" w:rsidRDefault="00C96881" w:rsidP="00C96881">
      <w:pPr>
        <w:pStyle w:val="NormalWeb"/>
        <w:jc w:val="both"/>
        <w:rPr>
          <w:rFonts w:ascii="Arial" w:hAnsi="Arial" w:cs="Arial"/>
          <w:color w:val="000000"/>
          <w:sz w:val="20"/>
          <w:szCs w:val="20"/>
        </w:rPr>
      </w:pPr>
      <w:r>
        <w:rPr>
          <w:rFonts w:ascii="Arial" w:hAnsi="Arial" w:cs="Arial"/>
          <w:color w:val="000000"/>
          <w:sz w:val="20"/>
          <w:szCs w:val="20"/>
        </w:rPr>
        <w:t>2. At present, banks have been granted a special dispensation of enhanced Held to Maturity (HTM) limit of 23 per cent of Net Demand and Time Liabilities (NDTL), for Statutory Liquidity Ratio (SLR) eligible securities acquired between September 1, 2020 and March 31, 2023, until March 31, 2023.</w:t>
      </w:r>
    </w:p>
    <w:p w:rsidR="00C96881" w:rsidRDefault="00C96881" w:rsidP="00C96881">
      <w:pPr>
        <w:pStyle w:val="NormalWeb"/>
        <w:jc w:val="both"/>
        <w:rPr>
          <w:rFonts w:ascii="Arial" w:hAnsi="Arial" w:cs="Arial"/>
          <w:color w:val="000000"/>
          <w:sz w:val="20"/>
          <w:szCs w:val="20"/>
        </w:rPr>
      </w:pPr>
      <w:r>
        <w:rPr>
          <w:rFonts w:ascii="Arial" w:hAnsi="Arial" w:cs="Arial"/>
          <w:color w:val="000000"/>
          <w:sz w:val="20"/>
          <w:szCs w:val="20"/>
        </w:rPr>
        <w:t xml:space="preserve">3. On a review, it has been decided to further extend the dispensation of enhanced HTM limit of 23 per cent of NDTL </w:t>
      </w:r>
      <w:proofErr w:type="spellStart"/>
      <w:r>
        <w:rPr>
          <w:rFonts w:ascii="Arial" w:hAnsi="Arial" w:cs="Arial"/>
          <w:color w:val="000000"/>
          <w:sz w:val="20"/>
          <w:szCs w:val="20"/>
        </w:rPr>
        <w:t>upto</w:t>
      </w:r>
      <w:proofErr w:type="spellEnd"/>
      <w:r>
        <w:rPr>
          <w:rFonts w:ascii="Arial" w:hAnsi="Arial" w:cs="Arial"/>
          <w:color w:val="000000"/>
          <w:sz w:val="20"/>
          <w:szCs w:val="20"/>
        </w:rPr>
        <w:t xml:space="preserve"> March 31, 2024 and allow banks to include securities acquired between September 1, 2020 and March 31, 2024 under the enhanced limit of 23 per cent.</w:t>
      </w:r>
    </w:p>
    <w:p w:rsidR="00C96881" w:rsidRDefault="00C96881" w:rsidP="00C96881">
      <w:pPr>
        <w:pStyle w:val="NormalWeb"/>
        <w:jc w:val="both"/>
        <w:rPr>
          <w:rFonts w:ascii="Arial" w:hAnsi="Arial" w:cs="Arial"/>
          <w:color w:val="000000"/>
          <w:sz w:val="20"/>
          <w:szCs w:val="20"/>
        </w:rPr>
      </w:pPr>
      <w:r>
        <w:rPr>
          <w:rFonts w:ascii="Arial" w:hAnsi="Arial" w:cs="Arial"/>
          <w:color w:val="000000"/>
          <w:sz w:val="20"/>
          <w:szCs w:val="20"/>
        </w:rPr>
        <w:t>4. The enhanced HTM limit of 23 per cent shall be restored to 19.5 percent in a phased manner, beginning from the quarter ending June 30, 2024, i.e., the excess SLR securities acquired by banks during the period September 1, 2020 to March 31, 2024 shall be progressively reduced such that the total SLR securities held in the HTM category as a percentage of the NDTL do not exceed:</w:t>
      </w:r>
    </w:p>
    <w:p w:rsidR="00C96881" w:rsidRDefault="00C96881" w:rsidP="00DA1141">
      <w:pPr>
        <w:pStyle w:val="NormalWeb"/>
        <w:numPr>
          <w:ilvl w:val="0"/>
          <w:numId w:val="17"/>
        </w:numPr>
        <w:ind w:left="0"/>
        <w:jc w:val="both"/>
        <w:rPr>
          <w:rFonts w:ascii="Arial" w:hAnsi="Arial" w:cs="Arial"/>
          <w:color w:val="000000"/>
          <w:sz w:val="20"/>
          <w:szCs w:val="20"/>
        </w:rPr>
      </w:pPr>
      <w:r>
        <w:rPr>
          <w:rFonts w:ascii="Arial" w:hAnsi="Arial" w:cs="Arial"/>
          <w:color w:val="000000"/>
          <w:sz w:val="20"/>
          <w:szCs w:val="20"/>
        </w:rPr>
        <w:t>22.00 per cent as on June 30, 2024</w:t>
      </w:r>
    </w:p>
    <w:p w:rsidR="00C96881" w:rsidRDefault="00C96881" w:rsidP="00DA1141">
      <w:pPr>
        <w:pStyle w:val="NormalWeb"/>
        <w:numPr>
          <w:ilvl w:val="0"/>
          <w:numId w:val="17"/>
        </w:numPr>
        <w:ind w:left="0"/>
        <w:jc w:val="both"/>
        <w:rPr>
          <w:rFonts w:ascii="Arial" w:hAnsi="Arial" w:cs="Arial"/>
          <w:color w:val="000000"/>
          <w:sz w:val="20"/>
          <w:szCs w:val="20"/>
        </w:rPr>
      </w:pPr>
      <w:r>
        <w:rPr>
          <w:rFonts w:ascii="Arial" w:hAnsi="Arial" w:cs="Arial"/>
          <w:color w:val="000000"/>
          <w:sz w:val="20"/>
          <w:szCs w:val="20"/>
        </w:rPr>
        <w:t>21.00 per cent as on September 30, 2024</w:t>
      </w:r>
    </w:p>
    <w:p w:rsidR="00C96881" w:rsidRDefault="00C96881" w:rsidP="00DA1141">
      <w:pPr>
        <w:pStyle w:val="NormalWeb"/>
        <w:numPr>
          <w:ilvl w:val="0"/>
          <w:numId w:val="17"/>
        </w:numPr>
        <w:ind w:left="0"/>
        <w:jc w:val="both"/>
        <w:rPr>
          <w:rFonts w:ascii="Arial" w:hAnsi="Arial" w:cs="Arial"/>
          <w:color w:val="000000"/>
          <w:sz w:val="20"/>
          <w:szCs w:val="20"/>
        </w:rPr>
      </w:pPr>
      <w:r>
        <w:rPr>
          <w:rFonts w:ascii="Arial" w:hAnsi="Arial" w:cs="Arial"/>
          <w:color w:val="000000"/>
          <w:sz w:val="20"/>
          <w:szCs w:val="20"/>
        </w:rPr>
        <w:t>20.00 per cent as on December 31, 2024</w:t>
      </w:r>
    </w:p>
    <w:p w:rsidR="00C96881" w:rsidRDefault="00C96881" w:rsidP="00DA1141">
      <w:pPr>
        <w:pStyle w:val="NormalWeb"/>
        <w:numPr>
          <w:ilvl w:val="0"/>
          <w:numId w:val="17"/>
        </w:numPr>
        <w:ind w:left="0"/>
        <w:jc w:val="both"/>
        <w:rPr>
          <w:rFonts w:ascii="Arial" w:hAnsi="Arial" w:cs="Arial"/>
          <w:color w:val="000000"/>
          <w:sz w:val="20"/>
          <w:szCs w:val="20"/>
        </w:rPr>
      </w:pPr>
      <w:r>
        <w:rPr>
          <w:rFonts w:ascii="Arial" w:hAnsi="Arial" w:cs="Arial"/>
          <w:color w:val="000000"/>
          <w:sz w:val="20"/>
          <w:szCs w:val="20"/>
        </w:rPr>
        <w:t>19.50 per cent as on March 31, 2025</w:t>
      </w:r>
    </w:p>
    <w:p w:rsidR="00C96881" w:rsidRDefault="00C96881" w:rsidP="00C96881">
      <w:pPr>
        <w:pStyle w:val="NormalWeb"/>
        <w:jc w:val="both"/>
        <w:rPr>
          <w:rFonts w:ascii="Arial" w:hAnsi="Arial" w:cs="Arial"/>
          <w:color w:val="000000"/>
          <w:sz w:val="20"/>
          <w:szCs w:val="20"/>
        </w:rPr>
      </w:pPr>
      <w:r>
        <w:rPr>
          <w:rFonts w:ascii="Arial" w:hAnsi="Arial" w:cs="Arial"/>
          <w:color w:val="000000"/>
          <w:sz w:val="20"/>
          <w:szCs w:val="20"/>
        </w:rPr>
        <w:t>All other instructions shall remain unchanged.</w:t>
      </w:r>
    </w:p>
    <w:p w:rsidR="00C96881" w:rsidRDefault="00C96881" w:rsidP="00C96881">
      <w:pPr>
        <w:pStyle w:val="NormalWeb"/>
        <w:jc w:val="both"/>
        <w:rPr>
          <w:rFonts w:ascii="Arial" w:hAnsi="Arial" w:cs="Arial"/>
          <w:color w:val="000000"/>
          <w:sz w:val="20"/>
          <w:szCs w:val="20"/>
        </w:rPr>
      </w:pPr>
      <w:r>
        <w:rPr>
          <w:rFonts w:ascii="Arial" w:hAnsi="Arial" w:cs="Arial"/>
          <w:color w:val="000000"/>
          <w:sz w:val="20"/>
          <w:szCs w:val="20"/>
        </w:rPr>
        <w:t>5. The relevant sections of the Master Direction are being amended to reflect the aforementioned changes.</w:t>
      </w:r>
    </w:p>
    <w:p w:rsidR="00C96881" w:rsidRDefault="00C96881" w:rsidP="00C96881">
      <w:pPr>
        <w:pStyle w:val="head"/>
        <w:jc w:val="both"/>
        <w:rPr>
          <w:rFonts w:ascii="Arial" w:hAnsi="Arial" w:cs="Arial"/>
          <w:b/>
          <w:bCs/>
          <w:color w:val="000000"/>
          <w:sz w:val="20"/>
          <w:szCs w:val="20"/>
        </w:rPr>
      </w:pPr>
      <w:r>
        <w:rPr>
          <w:rFonts w:ascii="Arial" w:hAnsi="Arial" w:cs="Arial"/>
          <w:b/>
          <w:bCs/>
          <w:color w:val="000000"/>
          <w:sz w:val="20"/>
          <w:szCs w:val="20"/>
        </w:rPr>
        <w:t>Applicability</w:t>
      </w:r>
    </w:p>
    <w:p w:rsidR="00C96881" w:rsidRDefault="00C96881" w:rsidP="00C96881">
      <w:pPr>
        <w:pStyle w:val="NormalWeb"/>
        <w:jc w:val="both"/>
        <w:rPr>
          <w:rFonts w:ascii="Arial" w:hAnsi="Arial" w:cs="Arial"/>
          <w:color w:val="000000"/>
          <w:sz w:val="20"/>
          <w:szCs w:val="20"/>
        </w:rPr>
      </w:pPr>
      <w:r>
        <w:rPr>
          <w:rFonts w:ascii="Arial" w:hAnsi="Arial" w:cs="Arial"/>
          <w:color w:val="000000"/>
          <w:sz w:val="20"/>
          <w:szCs w:val="20"/>
        </w:rPr>
        <w:t>6. This circular is applicable to all Commercial Banks.</w:t>
      </w:r>
    </w:p>
    <w:p w:rsidR="00C96881" w:rsidRDefault="00C96881" w:rsidP="00C96881">
      <w:pPr>
        <w:pStyle w:val="NormalWeb"/>
        <w:jc w:val="both"/>
        <w:rPr>
          <w:rFonts w:ascii="Arial" w:hAnsi="Arial" w:cs="Arial"/>
          <w:color w:val="000000"/>
          <w:sz w:val="20"/>
          <w:szCs w:val="20"/>
        </w:rPr>
      </w:pPr>
      <w:r>
        <w:rPr>
          <w:rFonts w:ascii="Arial" w:hAnsi="Arial" w:cs="Arial"/>
          <w:color w:val="000000"/>
          <w:sz w:val="20"/>
          <w:szCs w:val="20"/>
        </w:rPr>
        <w:t>7. These instructions shall come into force with immediate effect.</w:t>
      </w:r>
    </w:p>
    <w:p w:rsidR="00C96881" w:rsidRDefault="00C96881" w:rsidP="00C96881">
      <w:pPr>
        <w:pStyle w:val="NormalWeb"/>
        <w:spacing w:after="0" w:afterAutospacing="0"/>
        <w:jc w:val="both"/>
        <w:rPr>
          <w:rFonts w:ascii="Arial" w:hAnsi="Arial" w:cs="Arial"/>
          <w:color w:val="000000"/>
          <w:sz w:val="20"/>
          <w:szCs w:val="20"/>
        </w:rPr>
      </w:pPr>
      <w:r>
        <w:rPr>
          <w:rFonts w:ascii="Arial" w:hAnsi="Arial" w:cs="Arial"/>
          <w:color w:val="000000"/>
          <w:sz w:val="20"/>
          <w:szCs w:val="20"/>
        </w:rPr>
        <w:t>Yours faithfully,</w:t>
      </w:r>
    </w:p>
    <w:p w:rsidR="00C96881" w:rsidRDefault="00C96881" w:rsidP="00C96881">
      <w:pPr>
        <w:pStyle w:val="NormalWeb"/>
        <w:rPr>
          <w:rFonts w:ascii="Arial" w:hAnsi="Arial" w:cs="Arial"/>
          <w:color w:val="000000"/>
          <w:sz w:val="20"/>
          <w:szCs w:val="20"/>
        </w:rPr>
      </w:pPr>
      <w:r>
        <w:rPr>
          <w:rFonts w:ascii="Arial" w:hAnsi="Arial" w:cs="Arial"/>
          <w:color w:val="000000"/>
          <w:sz w:val="20"/>
          <w:szCs w:val="20"/>
        </w:rPr>
        <w:t>(</w:t>
      </w:r>
      <w:proofErr w:type="spellStart"/>
      <w:r>
        <w:rPr>
          <w:rFonts w:ascii="Arial" w:hAnsi="Arial" w:cs="Arial"/>
          <w:color w:val="000000"/>
          <w:sz w:val="20"/>
          <w:szCs w:val="20"/>
        </w:rPr>
        <w:t>Usha</w:t>
      </w:r>
      <w:proofErr w:type="spellEnd"/>
      <w:r>
        <w:rPr>
          <w:rFonts w:ascii="Arial" w:hAnsi="Arial" w:cs="Arial"/>
          <w:color w:val="000000"/>
          <w:sz w:val="20"/>
          <w:szCs w:val="20"/>
        </w:rPr>
        <w:t xml:space="preserve"> </w:t>
      </w:r>
      <w:proofErr w:type="spellStart"/>
      <w:r>
        <w:rPr>
          <w:rFonts w:ascii="Arial" w:hAnsi="Arial" w:cs="Arial"/>
          <w:color w:val="000000"/>
          <w:sz w:val="20"/>
          <w:szCs w:val="20"/>
        </w:rPr>
        <w:t>Janakiraman</w:t>
      </w:r>
      <w:proofErr w:type="spellEnd"/>
      <w:r>
        <w:rPr>
          <w:rFonts w:ascii="Arial" w:hAnsi="Arial" w:cs="Arial"/>
          <w:color w:val="000000"/>
          <w:sz w:val="20"/>
          <w:szCs w:val="20"/>
        </w:rPr>
        <w:t>)</w:t>
      </w:r>
      <w:r>
        <w:rPr>
          <w:rFonts w:ascii="Arial" w:hAnsi="Arial" w:cs="Arial"/>
          <w:color w:val="000000"/>
          <w:sz w:val="20"/>
          <w:szCs w:val="20"/>
        </w:rPr>
        <w:br/>
        <w:t>Chief General Manager</w:t>
      </w:r>
    </w:p>
    <w:p w:rsidR="00C96881" w:rsidRDefault="00C96881" w:rsidP="00C96881">
      <w:pPr>
        <w:spacing w:after="0"/>
        <w:rPr>
          <w:rFonts w:ascii="Arial" w:hAnsi="Arial" w:cs="Arial"/>
          <w:sz w:val="20"/>
          <w:szCs w:val="20"/>
        </w:rPr>
      </w:pPr>
    </w:p>
    <w:p w:rsidR="00C96881" w:rsidRDefault="00C96881" w:rsidP="00C96881">
      <w:pPr>
        <w:spacing w:after="0"/>
        <w:rPr>
          <w:rFonts w:ascii="Arial" w:hAnsi="Arial" w:cs="Arial"/>
          <w:sz w:val="20"/>
          <w:szCs w:val="20"/>
        </w:rPr>
      </w:pPr>
    </w:p>
    <w:p w:rsidR="00C96881" w:rsidRDefault="00C96881" w:rsidP="00C96881">
      <w:pPr>
        <w:spacing w:after="0"/>
        <w:rPr>
          <w:rFonts w:ascii="Arial" w:hAnsi="Arial" w:cs="Arial"/>
          <w:sz w:val="20"/>
          <w:szCs w:val="20"/>
        </w:rPr>
      </w:pPr>
      <w:r w:rsidRPr="00435B25">
        <w:rPr>
          <w:rFonts w:ascii="Arial" w:hAnsi="Arial" w:cs="Arial"/>
          <w:sz w:val="20"/>
          <w:szCs w:val="20"/>
        </w:rPr>
        <w:lastRenderedPageBreak/>
        <w:t>More details can be referred to in the below link.</w:t>
      </w:r>
    </w:p>
    <w:p w:rsidR="00C96881" w:rsidRDefault="00C96881" w:rsidP="00C96881">
      <w:pPr>
        <w:rPr>
          <w:rStyle w:val="Hyperlink"/>
          <w:rFonts w:ascii="Arial" w:hAnsi="Arial" w:cs="Arial"/>
          <w:sz w:val="20"/>
          <w:szCs w:val="20"/>
        </w:rPr>
      </w:pPr>
      <w:r w:rsidRPr="00435B25">
        <w:rPr>
          <w:rFonts w:ascii="Arial" w:hAnsi="Arial" w:cs="Arial"/>
          <w:sz w:val="20"/>
          <w:szCs w:val="20"/>
        </w:rPr>
        <w:t>Reference Link:</w:t>
      </w:r>
      <w:r>
        <w:rPr>
          <w:rFonts w:ascii="Arial" w:hAnsi="Arial" w:cs="Arial"/>
          <w:sz w:val="20"/>
          <w:szCs w:val="20"/>
        </w:rPr>
        <w:t xml:space="preserve"> </w:t>
      </w:r>
      <w:hyperlink r:id="rId181" w:anchor=":~:text=Review%20of%20SLR%20holdings%20in%20HTM%20category&amp;text=3.,4" w:history="1">
        <w:r w:rsidRPr="006865D6">
          <w:rPr>
            <w:rStyle w:val="Hyperlink"/>
            <w:rFonts w:ascii="Arial" w:hAnsi="Arial" w:cs="Arial"/>
            <w:sz w:val="20"/>
            <w:szCs w:val="20"/>
          </w:rPr>
          <w:t>https://www.rbi.org.in/scripts/FS_Notification.aspx?Id=12422&amp;fn=2&amp;Mode=0#:~:text=Review%20of%20SLR%20holdings%20in%20HTM%20category&amp;text=3.,4</w:t>
        </w:r>
      </w:hyperlink>
    </w:p>
    <w:p w:rsidR="00DA1141" w:rsidRDefault="00DA1141" w:rsidP="00C96881">
      <w:pPr>
        <w:rPr>
          <w:rStyle w:val="Hyperlink"/>
          <w:rFonts w:ascii="Arial" w:hAnsi="Arial" w:cs="Arial"/>
          <w:sz w:val="20"/>
          <w:szCs w:val="20"/>
        </w:rPr>
      </w:pPr>
    </w:p>
    <w:p w:rsidR="00DA1141" w:rsidRPr="005A38FC" w:rsidRDefault="00DA1141" w:rsidP="00DA1141">
      <w:pPr>
        <w:spacing w:after="0"/>
        <w:rPr>
          <w:rFonts w:ascii="Arial" w:hAnsi="Arial" w:cs="Arial"/>
          <w:b/>
          <w:bCs/>
          <w:color w:val="000000"/>
          <w:sz w:val="20"/>
          <w:szCs w:val="20"/>
        </w:rPr>
      </w:pPr>
      <w:r w:rsidRPr="005A38FC">
        <w:rPr>
          <w:rFonts w:ascii="Arial" w:hAnsi="Arial" w:cs="Arial"/>
          <w:b/>
          <w:bCs/>
          <w:color w:val="000000"/>
          <w:sz w:val="20"/>
          <w:szCs w:val="20"/>
        </w:rPr>
        <w:t>Hedging of Gold Price Risk in Overseas Markets</w:t>
      </w:r>
    </w:p>
    <w:p w:rsidR="00DA1141" w:rsidRPr="005A38FC" w:rsidRDefault="00DA1141" w:rsidP="00DA1141">
      <w:pPr>
        <w:pStyle w:val="NormalWeb"/>
        <w:rPr>
          <w:rFonts w:ascii="Arial" w:hAnsi="Arial" w:cs="Arial"/>
          <w:sz w:val="20"/>
          <w:szCs w:val="20"/>
        </w:rPr>
      </w:pPr>
      <w:r w:rsidRPr="005A38FC">
        <w:rPr>
          <w:rFonts w:ascii="Arial" w:hAnsi="Arial" w:cs="Arial"/>
          <w:sz w:val="20"/>
          <w:szCs w:val="20"/>
        </w:rPr>
        <w:t>RBI/2022-23/151</w:t>
      </w:r>
      <w:r w:rsidRPr="005A38FC">
        <w:rPr>
          <w:rFonts w:ascii="Arial" w:hAnsi="Arial" w:cs="Arial"/>
          <w:sz w:val="20"/>
          <w:szCs w:val="20"/>
        </w:rPr>
        <w:br/>
        <w:t>A. P. (DIR Series) Circular No. 19</w:t>
      </w:r>
    </w:p>
    <w:p w:rsidR="00DA1141" w:rsidRPr="005A38FC" w:rsidRDefault="00DA1141" w:rsidP="00DA1141">
      <w:pPr>
        <w:pStyle w:val="NormalWeb"/>
        <w:jc w:val="right"/>
        <w:rPr>
          <w:rFonts w:ascii="Arial" w:hAnsi="Arial" w:cs="Arial"/>
          <w:sz w:val="20"/>
          <w:szCs w:val="20"/>
        </w:rPr>
      </w:pPr>
      <w:r w:rsidRPr="005A38FC">
        <w:rPr>
          <w:rFonts w:ascii="Arial" w:hAnsi="Arial" w:cs="Arial"/>
          <w:sz w:val="20"/>
          <w:szCs w:val="20"/>
        </w:rPr>
        <w:t>December 12, 2022</w:t>
      </w:r>
    </w:p>
    <w:p w:rsidR="00DA1141" w:rsidRPr="005A38FC" w:rsidRDefault="00DA1141" w:rsidP="00DA1141">
      <w:pPr>
        <w:pStyle w:val="NormalWeb"/>
        <w:spacing w:before="0" w:beforeAutospacing="0" w:after="0" w:afterAutospacing="0"/>
        <w:rPr>
          <w:rFonts w:ascii="Arial" w:hAnsi="Arial" w:cs="Arial"/>
          <w:sz w:val="20"/>
          <w:szCs w:val="20"/>
        </w:rPr>
      </w:pPr>
      <w:r w:rsidRPr="005A38FC">
        <w:rPr>
          <w:rFonts w:ascii="Arial" w:hAnsi="Arial" w:cs="Arial"/>
          <w:sz w:val="20"/>
          <w:szCs w:val="20"/>
        </w:rPr>
        <w:t>All Authorised Dealer Category – I Banks</w:t>
      </w:r>
    </w:p>
    <w:p w:rsidR="00DA1141" w:rsidRPr="005A38FC" w:rsidRDefault="00DA1141" w:rsidP="00DA1141">
      <w:pPr>
        <w:pStyle w:val="NormalWeb"/>
        <w:spacing w:before="0" w:beforeAutospacing="0" w:after="0" w:afterAutospacing="0"/>
        <w:rPr>
          <w:rFonts w:ascii="Arial" w:hAnsi="Arial" w:cs="Arial"/>
          <w:sz w:val="20"/>
          <w:szCs w:val="20"/>
        </w:rPr>
      </w:pPr>
      <w:r w:rsidRPr="005A38FC">
        <w:rPr>
          <w:rFonts w:ascii="Arial" w:hAnsi="Arial" w:cs="Arial"/>
          <w:sz w:val="20"/>
          <w:szCs w:val="20"/>
        </w:rPr>
        <w:t>Madam / Sir,</w:t>
      </w:r>
    </w:p>
    <w:p w:rsidR="00DA1141" w:rsidRPr="005A38FC" w:rsidRDefault="00DA1141" w:rsidP="00DA1141">
      <w:pPr>
        <w:pStyle w:val="head"/>
        <w:jc w:val="center"/>
        <w:rPr>
          <w:rFonts w:ascii="Arial" w:hAnsi="Arial" w:cs="Arial"/>
          <w:b/>
          <w:bCs/>
          <w:sz w:val="20"/>
          <w:szCs w:val="20"/>
        </w:rPr>
      </w:pPr>
      <w:r w:rsidRPr="005A38FC">
        <w:rPr>
          <w:rFonts w:ascii="Arial" w:hAnsi="Arial" w:cs="Arial"/>
          <w:b/>
          <w:bCs/>
          <w:sz w:val="20"/>
          <w:szCs w:val="20"/>
        </w:rPr>
        <w:t>Hedging of Gold Price Risk in Overseas Markets</w:t>
      </w:r>
    </w:p>
    <w:p w:rsidR="00DA1141" w:rsidRPr="005A38FC" w:rsidRDefault="00DA1141" w:rsidP="00DA1141">
      <w:pPr>
        <w:pStyle w:val="NormalWeb"/>
        <w:rPr>
          <w:rFonts w:ascii="Arial" w:hAnsi="Arial" w:cs="Arial"/>
          <w:sz w:val="20"/>
          <w:szCs w:val="20"/>
        </w:rPr>
      </w:pPr>
      <w:r w:rsidRPr="005A38FC">
        <w:rPr>
          <w:rFonts w:ascii="Arial" w:hAnsi="Arial" w:cs="Arial"/>
          <w:sz w:val="20"/>
          <w:szCs w:val="20"/>
        </w:rPr>
        <w:t>Please refer to Paragraph 4 of the </w:t>
      </w:r>
      <w:hyperlink r:id="rId182" w:tgtFrame="_blank" w:history="1">
        <w:r w:rsidRPr="005A38FC">
          <w:rPr>
            <w:rStyle w:val="Hyperlink"/>
            <w:rFonts w:ascii="Arial" w:hAnsi="Arial" w:cs="Arial"/>
            <w:sz w:val="20"/>
            <w:szCs w:val="20"/>
          </w:rPr>
          <w:t>Statement on Developmental and Regulatory Policies</w:t>
        </w:r>
      </w:hyperlink>
      <w:r w:rsidRPr="005A38FC">
        <w:rPr>
          <w:rFonts w:ascii="Arial" w:hAnsi="Arial" w:cs="Arial"/>
          <w:sz w:val="20"/>
          <w:szCs w:val="20"/>
        </w:rPr>
        <w:t> announced as a part of the </w:t>
      </w:r>
      <w:hyperlink r:id="rId183" w:tgtFrame="_blank" w:history="1">
        <w:r w:rsidRPr="005A38FC">
          <w:rPr>
            <w:rStyle w:val="Hyperlink"/>
            <w:rFonts w:ascii="Arial" w:hAnsi="Arial" w:cs="Arial"/>
            <w:sz w:val="20"/>
            <w:szCs w:val="20"/>
          </w:rPr>
          <w:t>Bi-monthly Monetary Policy Statement for 2022-23 dated December 07, 2022</w:t>
        </w:r>
      </w:hyperlink>
      <w:r w:rsidRPr="005A38FC">
        <w:rPr>
          <w:rFonts w:ascii="Arial" w:hAnsi="Arial" w:cs="Arial"/>
          <w:sz w:val="20"/>
          <w:szCs w:val="20"/>
        </w:rPr>
        <w:t> regarding hedging of price risk of gold in overseas markets. Attention is also invited to the </w:t>
      </w:r>
      <w:hyperlink r:id="rId184" w:tgtFrame="_blank" w:history="1">
        <w:r w:rsidRPr="005A38FC">
          <w:rPr>
            <w:rStyle w:val="Hyperlink"/>
            <w:rFonts w:ascii="Arial" w:hAnsi="Arial" w:cs="Arial"/>
            <w:sz w:val="20"/>
            <w:szCs w:val="20"/>
          </w:rPr>
          <w:t>Hedging of Commodity Price Risk and Freight Risk in Overseas Markets (Reserve Bank) Directions, 2018 dated March 12, 2018</w:t>
        </w:r>
      </w:hyperlink>
      <w:r w:rsidRPr="005A38FC">
        <w:rPr>
          <w:rFonts w:ascii="Arial" w:hAnsi="Arial" w:cs="Arial"/>
          <w:sz w:val="20"/>
          <w:szCs w:val="20"/>
        </w:rPr>
        <w:t>, as amended from time to time.</w:t>
      </w:r>
    </w:p>
    <w:p w:rsidR="00DA1141" w:rsidRPr="005A38FC" w:rsidRDefault="00DA1141" w:rsidP="00DA1141">
      <w:pPr>
        <w:pStyle w:val="NormalWeb"/>
        <w:rPr>
          <w:rFonts w:ascii="Arial" w:hAnsi="Arial" w:cs="Arial"/>
          <w:sz w:val="20"/>
          <w:szCs w:val="20"/>
        </w:rPr>
      </w:pPr>
      <w:r w:rsidRPr="005A38FC">
        <w:rPr>
          <w:rFonts w:ascii="Arial" w:hAnsi="Arial" w:cs="Arial"/>
          <w:sz w:val="20"/>
          <w:szCs w:val="20"/>
        </w:rPr>
        <w:t>2. Resident entities in India are currently not permitted to hedge their exposure to price risk of gold in overseas markets. On a review, it has been decided to permit eligible entities to hedge their exposure to price risk of gold on exchanges in the International Financial Services Centre (IFSC) recognised by the International Financial Services Centres Authority (IFSCA).</w:t>
      </w:r>
    </w:p>
    <w:p w:rsidR="00DA1141" w:rsidRPr="005A38FC" w:rsidRDefault="00DA1141" w:rsidP="00DA1141">
      <w:pPr>
        <w:pStyle w:val="NormalWeb"/>
        <w:rPr>
          <w:rFonts w:ascii="Arial" w:hAnsi="Arial" w:cs="Arial"/>
          <w:sz w:val="20"/>
          <w:szCs w:val="20"/>
        </w:rPr>
      </w:pPr>
      <w:r w:rsidRPr="005A38FC">
        <w:rPr>
          <w:rFonts w:ascii="Arial" w:hAnsi="Arial" w:cs="Arial"/>
          <w:sz w:val="20"/>
          <w:szCs w:val="20"/>
        </w:rPr>
        <w:t>3. The Master Direction – Foreign Exchange Management (Hedging of Commodity Price Risk and Freight Risk in Overseas Markets) Directions, 2022 (</w:t>
      </w:r>
      <w:hyperlink r:id="rId185" w:tgtFrame="_blank" w:history="1">
        <w:r w:rsidRPr="005A38FC">
          <w:rPr>
            <w:rStyle w:val="Hyperlink"/>
            <w:rFonts w:ascii="Arial" w:hAnsi="Arial" w:cs="Arial"/>
            <w:sz w:val="20"/>
            <w:szCs w:val="20"/>
          </w:rPr>
          <w:t>A. P. (DIR Series) Circular No. 21 dated December 12, 2022</w:t>
        </w:r>
      </w:hyperlink>
      <w:r w:rsidRPr="005A38FC">
        <w:rPr>
          <w:rFonts w:ascii="Arial" w:hAnsi="Arial" w:cs="Arial"/>
          <w:sz w:val="20"/>
          <w:szCs w:val="20"/>
        </w:rPr>
        <w:t>) have been issued today and are enclosed herewith.</w:t>
      </w:r>
    </w:p>
    <w:p w:rsidR="00DA1141" w:rsidRPr="005A38FC" w:rsidRDefault="00DA1141" w:rsidP="00DA1141">
      <w:pPr>
        <w:pStyle w:val="NormalWeb"/>
        <w:rPr>
          <w:rFonts w:ascii="Arial" w:hAnsi="Arial" w:cs="Arial"/>
          <w:sz w:val="20"/>
          <w:szCs w:val="20"/>
        </w:rPr>
      </w:pPr>
      <w:r w:rsidRPr="005A38FC">
        <w:rPr>
          <w:rFonts w:ascii="Arial" w:hAnsi="Arial" w:cs="Arial"/>
          <w:sz w:val="20"/>
          <w:szCs w:val="20"/>
        </w:rPr>
        <w:t>4. The directions contained in this circular have been issued under Sections 10(4) and 11(1) of the Foreign Exchange Management Act, 1999 (42 of 1999) and are without prejudice to permissions/ approvals, if any, required under any other law.</w:t>
      </w:r>
    </w:p>
    <w:p w:rsidR="00DA1141" w:rsidRPr="005A38FC" w:rsidRDefault="00DA1141" w:rsidP="00DA1141">
      <w:pPr>
        <w:pStyle w:val="NormalWeb"/>
        <w:spacing w:before="0" w:beforeAutospacing="0" w:after="0" w:afterAutospacing="0"/>
        <w:rPr>
          <w:rFonts w:ascii="Arial" w:hAnsi="Arial" w:cs="Arial"/>
          <w:sz w:val="20"/>
          <w:szCs w:val="20"/>
        </w:rPr>
      </w:pPr>
      <w:r w:rsidRPr="005A38FC">
        <w:rPr>
          <w:rFonts w:ascii="Arial" w:hAnsi="Arial" w:cs="Arial"/>
          <w:sz w:val="20"/>
          <w:szCs w:val="20"/>
        </w:rPr>
        <w:t>Yours faithfully,</w:t>
      </w:r>
    </w:p>
    <w:p w:rsidR="00DA1141" w:rsidRPr="005A38FC" w:rsidRDefault="00DA1141" w:rsidP="00DA1141">
      <w:pPr>
        <w:pStyle w:val="NormalWeb"/>
        <w:spacing w:before="0" w:beforeAutospacing="0" w:after="0" w:afterAutospacing="0"/>
        <w:rPr>
          <w:rFonts w:ascii="Arial" w:hAnsi="Arial" w:cs="Arial"/>
          <w:sz w:val="20"/>
          <w:szCs w:val="20"/>
        </w:rPr>
      </w:pPr>
      <w:r w:rsidRPr="005A38FC">
        <w:rPr>
          <w:rFonts w:ascii="Arial" w:hAnsi="Arial" w:cs="Arial"/>
          <w:sz w:val="20"/>
          <w:szCs w:val="20"/>
        </w:rPr>
        <w:t xml:space="preserve">(Dimple </w:t>
      </w:r>
      <w:proofErr w:type="spellStart"/>
      <w:r w:rsidRPr="005A38FC">
        <w:rPr>
          <w:rFonts w:ascii="Arial" w:hAnsi="Arial" w:cs="Arial"/>
          <w:sz w:val="20"/>
          <w:szCs w:val="20"/>
        </w:rPr>
        <w:t>Bhandia</w:t>
      </w:r>
      <w:proofErr w:type="spellEnd"/>
      <w:r w:rsidRPr="005A38FC">
        <w:rPr>
          <w:rFonts w:ascii="Arial" w:hAnsi="Arial" w:cs="Arial"/>
          <w:sz w:val="20"/>
          <w:szCs w:val="20"/>
        </w:rPr>
        <w:t>)</w:t>
      </w:r>
      <w:r w:rsidRPr="005A38FC">
        <w:rPr>
          <w:rFonts w:ascii="Arial" w:hAnsi="Arial" w:cs="Arial"/>
          <w:sz w:val="20"/>
          <w:szCs w:val="20"/>
        </w:rPr>
        <w:br/>
        <w:t>Chief General Manager</w:t>
      </w:r>
    </w:p>
    <w:p w:rsidR="00DA1141" w:rsidRDefault="00DA1141" w:rsidP="00DA1141">
      <w:pPr>
        <w:spacing w:after="0"/>
        <w:rPr>
          <w:rFonts w:ascii="Arial" w:hAnsi="Arial" w:cs="Arial"/>
          <w:sz w:val="20"/>
          <w:szCs w:val="20"/>
        </w:rPr>
      </w:pPr>
    </w:p>
    <w:p w:rsidR="00DA1141" w:rsidRDefault="00DA1141" w:rsidP="00DA1141">
      <w:pPr>
        <w:spacing w:after="0"/>
        <w:rPr>
          <w:rFonts w:ascii="Arial" w:hAnsi="Arial" w:cs="Arial"/>
          <w:sz w:val="20"/>
          <w:szCs w:val="20"/>
        </w:rPr>
      </w:pPr>
    </w:p>
    <w:p w:rsidR="00DA1141" w:rsidRDefault="00DA1141" w:rsidP="00DA1141">
      <w:pPr>
        <w:spacing w:after="0"/>
        <w:rPr>
          <w:rFonts w:ascii="Arial" w:hAnsi="Arial" w:cs="Arial"/>
          <w:sz w:val="20"/>
          <w:szCs w:val="20"/>
        </w:rPr>
      </w:pPr>
    </w:p>
    <w:p w:rsidR="00DA1141" w:rsidRDefault="00DA1141" w:rsidP="00DA1141">
      <w:pPr>
        <w:spacing w:after="0"/>
        <w:rPr>
          <w:rFonts w:ascii="Arial" w:hAnsi="Arial" w:cs="Arial"/>
          <w:sz w:val="20"/>
          <w:szCs w:val="20"/>
        </w:rPr>
      </w:pPr>
    </w:p>
    <w:p w:rsidR="00DA1141" w:rsidRDefault="00DA1141" w:rsidP="00DA1141">
      <w:pPr>
        <w:spacing w:after="0"/>
        <w:rPr>
          <w:rFonts w:ascii="Arial" w:hAnsi="Arial" w:cs="Arial"/>
          <w:sz w:val="20"/>
          <w:szCs w:val="20"/>
        </w:rPr>
      </w:pPr>
    </w:p>
    <w:p w:rsidR="00DA1141" w:rsidRDefault="00DA1141" w:rsidP="00DA1141">
      <w:pPr>
        <w:spacing w:after="0"/>
        <w:rPr>
          <w:rFonts w:ascii="Arial" w:hAnsi="Arial" w:cs="Arial"/>
          <w:sz w:val="20"/>
          <w:szCs w:val="20"/>
        </w:rPr>
      </w:pPr>
    </w:p>
    <w:p w:rsidR="00DA1141" w:rsidRPr="00435B25" w:rsidRDefault="00DA1141" w:rsidP="00DA1141">
      <w:pPr>
        <w:spacing w:after="0"/>
        <w:rPr>
          <w:rFonts w:ascii="Arial" w:hAnsi="Arial" w:cs="Arial"/>
          <w:sz w:val="20"/>
          <w:szCs w:val="20"/>
        </w:rPr>
      </w:pPr>
      <w:r w:rsidRPr="00435B25">
        <w:rPr>
          <w:rFonts w:ascii="Arial" w:hAnsi="Arial" w:cs="Arial"/>
          <w:sz w:val="20"/>
          <w:szCs w:val="20"/>
        </w:rPr>
        <w:t>More details can be referred to in the below link.</w:t>
      </w:r>
    </w:p>
    <w:p w:rsidR="00DA1141" w:rsidRDefault="00DA1141" w:rsidP="00DA1141">
      <w:pPr>
        <w:spacing w:after="0"/>
        <w:rPr>
          <w:rFonts w:ascii="Arial" w:hAnsi="Arial" w:cs="Arial"/>
          <w:sz w:val="20"/>
          <w:szCs w:val="20"/>
        </w:rPr>
      </w:pPr>
      <w:r w:rsidRPr="00435B25">
        <w:rPr>
          <w:rFonts w:ascii="Arial" w:hAnsi="Arial" w:cs="Arial"/>
          <w:sz w:val="20"/>
          <w:szCs w:val="20"/>
        </w:rPr>
        <w:t>Reference Link:</w:t>
      </w:r>
      <w:r>
        <w:rPr>
          <w:rFonts w:ascii="Arial" w:hAnsi="Arial" w:cs="Arial"/>
          <w:sz w:val="20"/>
          <w:szCs w:val="20"/>
        </w:rPr>
        <w:t xml:space="preserve"> </w:t>
      </w:r>
      <w:hyperlink r:id="rId186" w:anchor=":~:text=Hedging%20of%20Gold%20Price%20Risk%20in%20Overseas%20Markets&amp;text=Resident%20entities%20in%20India%20are,of%20gold%20in%20overseas%20markets" w:history="1">
        <w:r w:rsidRPr="00200311">
          <w:rPr>
            <w:rStyle w:val="Hyperlink"/>
            <w:rFonts w:ascii="Arial" w:hAnsi="Arial" w:cs="Arial"/>
            <w:sz w:val="20"/>
            <w:szCs w:val="20"/>
          </w:rPr>
          <w:t>https://m.rbi.org.in/scripts/FS_Notification.aspx?Id=12423&amp;fn=6&amp;Mode=0#:~:text=Hedging%20of%20Gold%20Price%20Risk%20in%20Overseas%20Markets&amp;text=Resident%20entities%20in%20India%20are,of%20gold%20in%20overseas%20markets</w:t>
        </w:r>
      </w:hyperlink>
      <w:r w:rsidRPr="005A38FC">
        <w:rPr>
          <w:rFonts w:ascii="Arial" w:hAnsi="Arial" w:cs="Arial"/>
          <w:sz w:val="20"/>
          <w:szCs w:val="20"/>
        </w:rPr>
        <w:t>.</w:t>
      </w:r>
    </w:p>
    <w:p w:rsidR="00DA1141" w:rsidRDefault="00DA1141" w:rsidP="00DA1141">
      <w:pPr>
        <w:spacing w:after="0"/>
        <w:rPr>
          <w:rFonts w:ascii="Arial" w:hAnsi="Arial" w:cs="Arial"/>
          <w:sz w:val="20"/>
          <w:szCs w:val="20"/>
        </w:rPr>
      </w:pPr>
    </w:p>
    <w:p w:rsidR="00DA1141" w:rsidRDefault="00DA1141" w:rsidP="00DA1141">
      <w:pPr>
        <w:spacing w:after="0"/>
        <w:rPr>
          <w:rFonts w:ascii="Arial" w:hAnsi="Arial" w:cs="Arial"/>
          <w:sz w:val="20"/>
          <w:szCs w:val="20"/>
        </w:rPr>
      </w:pPr>
    </w:p>
    <w:p w:rsidR="00DA1141" w:rsidRDefault="00DA1141" w:rsidP="00DA1141">
      <w:pPr>
        <w:spacing w:after="0"/>
        <w:rPr>
          <w:rFonts w:ascii="Arial" w:hAnsi="Arial" w:cs="Arial"/>
          <w:sz w:val="20"/>
          <w:szCs w:val="20"/>
        </w:rPr>
      </w:pPr>
    </w:p>
    <w:p w:rsidR="00DA1141" w:rsidRDefault="00DA1141" w:rsidP="00DA1141">
      <w:pPr>
        <w:spacing w:after="0"/>
        <w:rPr>
          <w:rFonts w:ascii="Arial" w:hAnsi="Arial" w:cs="Arial"/>
          <w:sz w:val="20"/>
          <w:szCs w:val="20"/>
        </w:rPr>
      </w:pPr>
    </w:p>
    <w:p w:rsidR="00DA1141" w:rsidRDefault="00DA1141" w:rsidP="00DA1141">
      <w:pPr>
        <w:spacing w:after="0"/>
        <w:rPr>
          <w:rFonts w:ascii="Arial" w:hAnsi="Arial" w:cs="Arial"/>
          <w:sz w:val="20"/>
          <w:szCs w:val="20"/>
        </w:rPr>
      </w:pPr>
    </w:p>
    <w:p w:rsidR="00DA1141" w:rsidRDefault="00DA1141" w:rsidP="00DA1141">
      <w:pPr>
        <w:spacing w:after="0"/>
        <w:rPr>
          <w:rFonts w:ascii="Arial" w:hAnsi="Arial" w:cs="Arial"/>
          <w:sz w:val="20"/>
          <w:szCs w:val="20"/>
        </w:rPr>
      </w:pPr>
    </w:p>
    <w:p w:rsidR="00DA1141" w:rsidRDefault="00DA1141" w:rsidP="00DA1141">
      <w:pPr>
        <w:spacing w:after="0"/>
        <w:rPr>
          <w:rFonts w:ascii="Arial" w:hAnsi="Arial" w:cs="Arial"/>
          <w:sz w:val="20"/>
          <w:szCs w:val="20"/>
        </w:rPr>
      </w:pPr>
    </w:p>
    <w:p w:rsidR="00DA1141" w:rsidRDefault="00DA1141" w:rsidP="00DA1141">
      <w:pPr>
        <w:spacing w:after="0"/>
        <w:rPr>
          <w:rFonts w:ascii="Arial" w:hAnsi="Arial" w:cs="Arial"/>
          <w:sz w:val="20"/>
          <w:szCs w:val="20"/>
        </w:rPr>
      </w:pPr>
    </w:p>
    <w:p w:rsidR="00DA1141" w:rsidRDefault="00DA1141" w:rsidP="00DA1141">
      <w:pPr>
        <w:spacing w:after="0"/>
        <w:rPr>
          <w:rFonts w:ascii="Arial" w:hAnsi="Arial" w:cs="Arial"/>
          <w:sz w:val="20"/>
          <w:szCs w:val="20"/>
        </w:rPr>
      </w:pPr>
    </w:p>
    <w:p w:rsidR="00DA1141" w:rsidRDefault="00DA1141" w:rsidP="00DA1141">
      <w:pPr>
        <w:spacing w:after="0"/>
        <w:rPr>
          <w:rFonts w:ascii="Arial" w:hAnsi="Arial" w:cs="Arial"/>
          <w:sz w:val="20"/>
          <w:szCs w:val="20"/>
        </w:rPr>
      </w:pPr>
    </w:p>
    <w:p w:rsidR="00DA1141" w:rsidRDefault="00DA1141" w:rsidP="00DA1141">
      <w:pPr>
        <w:spacing w:after="0"/>
        <w:rPr>
          <w:rFonts w:ascii="Arial" w:hAnsi="Arial" w:cs="Arial"/>
          <w:sz w:val="20"/>
          <w:szCs w:val="20"/>
        </w:rPr>
      </w:pPr>
    </w:p>
    <w:p w:rsidR="00DA1141" w:rsidRDefault="00DA1141" w:rsidP="00DA1141">
      <w:pPr>
        <w:spacing w:after="0"/>
        <w:rPr>
          <w:rFonts w:ascii="Arial" w:hAnsi="Arial" w:cs="Arial"/>
          <w:b/>
          <w:bCs/>
          <w:color w:val="000000"/>
          <w:sz w:val="20"/>
          <w:szCs w:val="20"/>
        </w:rPr>
      </w:pPr>
      <w:r>
        <w:rPr>
          <w:rFonts w:ascii="Arial" w:hAnsi="Arial" w:cs="Arial"/>
          <w:b/>
          <w:bCs/>
          <w:color w:val="000000"/>
          <w:sz w:val="20"/>
          <w:szCs w:val="20"/>
        </w:rPr>
        <w:t>Master Direction – Foreign Exchange Management (Hedging of Commodity Price Risk and Freight Risk in Overseas Markets) Directions, 2022</w:t>
      </w:r>
    </w:p>
    <w:p w:rsidR="00DA1141" w:rsidRDefault="00DA1141" w:rsidP="00DA1141">
      <w:pPr>
        <w:spacing w:after="0"/>
        <w:rPr>
          <w:rFonts w:ascii="Arial" w:hAnsi="Arial" w:cs="Arial"/>
          <w:b/>
          <w:bCs/>
          <w:color w:val="000000"/>
          <w:sz w:val="20"/>
          <w:szCs w:val="20"/>
        </w:rPr>
      </w:pPr>
    </w:p>
    <w:p w:rsidR="00DA1141" w:rsidRDefault="00DA1141" w:rsidP="00DA1141">
      <w:pPr>
        <w:pStyle w:val="NormalWeb"/>
        <w:jc w:val="both"/>
        <w:rPr>
          <w:rFonts w:ascii="Arial" w:hAnsi="Arial" w:cs="Arial"/>
          <w:color w:val="000000"/>
          <w:sz w:val="20"/>
          <w:szCs w:val="20"/>
        </w:rPr>
      </w:pPr>
      <w:r>
        <w:rPr>
          <w:rFonts w:ascii="Arial" w:hAnsi="Arial" w:cs="Arial"/>
          <w:color w:val="000000"/>
          <w:sz w:val="20"/>
          <w:szCs w:val="20"/>
        </w:rPr>
        <w:t>RBI/2022-2023/94</w:t>
      </w:r>
      <w:r>
        <w:rPr>
          <w:rFonts w:ascii="Arial" w:hAnsi="Arial" w:cs="Arial"/>
          <w:color w:val="000000"/>
          <w:sz w:val="20"/>
          <w:szCs w:val="20"/>
        </w:rPr>
        <w:br/>
        <w:t>A. P. (DIR Series) Circular No. 20</w:t>
      </w:r>
    </w:p>
    <w:p w:rsidR="00DA1141" w:rsidRDefault="00DA1141" w:rsidP="00DA1141">
      <w:pPr>
        <w:pStyle w:val="NormalWeb"/>
        <w:jc w:val="right"/>
        <w:rPr>
          <w:rFonts w:ascii="Arial" w:hAnsi="Arial" w:cs="Arial"/>
          <w:color w:val="000000"/>
          <w:sz w:val="20"/>
          <w:szCs w:val="20"/>
        </w:rPr>
      </w:pPr>
      <w:r>
        <w:rPr>
          <w:rFonts w:ascii="Arial" w:hAnsi="Arial" w:cs="Arial"/>
          <w:color w:val="000000"/>
          <w:sz w:val="20"/>
          <w:szCs w:val="20"/>
        </w:rPr>
        <w:t>December 12, 2022</w:t>
      </w:r>
    </w:p>
    <w:p w:rsidR="00DA1141" w:rsidRDefault="00DA1141" w:rsidP="00DA1141">
      <w:pPr>
        <w:pStyle w:val="NormalWeb"/>
        <w:jc w:val="both"/>
        <w:rPr>
          <w:rFonts w:ascii="Arial" w:hAnsi="Arial" w:cs="Arial"/>
          <w:color w:val="000000"/>
          <w:sz w:val="20"/>
          <w:szCs w:val="20"/>
        </w:rPr>
      </w:pPr>
      <w:r>
        <w:rPr>
          <w:rFonts w:ascii="Arial" w:hAnsi="Arial" w:cs="Arial"/>
          <w:color w:val="000000"/>
          <w:sz w:val="20"/>
          <w:szCs w:val="20"/>
        </w:rPr>
        <w:t>All Authorised Dealer Category – I Banks</w:t>
      </w:r>
    </w:p>
    <w:p w:rsidR="00DA1141" w:rsidRDefault="00DA1141" w:rsidP="00DA1141">
      <w:pPr>
        <w:pStyle w:val="NormalWeb"/>
        <w:jc w:val="both"/>
        <w:rPr>
          <w:rFonts w:ascii="Arial" w:hAnsi="Arial" w:cs="Arial"/>
          <w:color w:val="000000"/>
          <w:sz w:val="20"/>
          <w:szCs w:val="20"/>
        </w:rPr>
      </w:pPr>
      <w:r>
        <w:rPr>
          <w:rFonts w:ascii="Arial" w:hAnsi="Arial" w:cs="Arial"/>
          <w:color w:val="000000"/>
          <w:sz w:val="20"/>
          <w:szCs w:val="20"/>
        </w:rPr>
        <w:t>Madam / Sir,</w:t>
      </w:r>
    </w:p>
    <w:p w:rsidR="00DA1141" w:rsidRDefault="00DA1141" w:rsidP="00DA1141">
      <w:pPr>
        <w:pStyle w:val="head"/>
        <w:jc w:val="center"/>
        <w:rPr>
          <w:rFonts w:ascii="Arial" w:hAnsi="Arial" w:cs="Arial"/>
          <w:b/>
          <w:bCs/>
          <w:color w:val="000000"/>
          <w:sz w:val="20"/>
          <w:szCs w:val="20"/>
        </w:rPr>
      </w:pPr>
      <w:r>
        <w:rPr>
          <w:rFonts w:ascii="Arial" w:hAnsi="Arial" w:cs="Arial"/>
          <w:b/>
          <w:bCs/>
          <w:color w:val="000000"/>
          <w:sz w:val="20"/>
          <w:szCs w:val="20"/>
        </w:rPr>
        <w:t>Master Direction – Foreign Exchange Management (Hedging of Commodity Price Risk</w:t>
      </w:r>
      <w:r>
        <w:rPr>
          <w:rFonts w:ascii="Arial" w:hAnsi="Arial" w:cs="Arial"/>
          <w:b/>
          <w:bCs/>
          <w:color w:val="000000"/>
          <w:sz w:val="20"/>
          <w:szCs w:val="20"/>
        </w:rPr>
        <w:br/>
        <w:t>and Freight Risk in Overseas Markets) Directions, 2022</w:t>
      </w:r>
    </w:p>
    <w:p w:rsidR="00DA1141" w:rsidRDefault="00DA1141" w:rsidP="00DA1141">
      <w:pPr>
        <w:pStyle w:val="NormalWeb"/>
        <w:jc w:val="both"/>
        <w:rPr>
          <w:rFonts w:ascii="Arial" w:hAnsi="Arial" w:cs="Arial"/>
          <w:color w:val="000000"/>
          <w:sz w:val="20"/>
          <w:szCs w:val="20"/>
        </w:rPr>
      </w:pPr>
      <w:r>
        <w:rPr>
          <w:rFonts w:ascii="Arial" w:hAnsi="Arial" w:cs="Arial"/>
          <w:color w:val="000000"/>
          <w:sz w:val="20"/>
          <w:szCs w:val="20"/>
        </w:rPr>
        <w:t>Attention of Authorised Dealer Category - I (AD Cat-I) banks is invited to Regulation 6 and 6A of the Foreign Exchange Management (Foreign Exchange Derivative Contracts) Regulations, 2000 dated May 3, 2000 (</w:t>
      </w:r>
      <w:hyperlink r:id="rId187" w:tgtFrame="_blank" w:history="1">
        <w:r>
          <w:rPr>
            <w:rStyle w:val="Hyperlink"/>
            <w:rFonts w:ascii="Arial" w:hAnsi="Arial" w:cs="Arial"/>
            <w:sz w:val="20"/>
            <w:szCs w:val="20"/>
          </w:rPr>
          <w:t>Notification No. FEMA. 25/RB-2000 dated May 3, 2000</w:t>
        </w:r>
      </w:hyperlink>
      <w:r>
        <w:rPr>
          <w:rFonts w:ascii="Arial" w:hAnsi="Arial" w:cs="Arial"/>
          <w:color w:val="000000"/>
          <w:sz w:val="20"/>
          <w:szCs w:val="20"/>
        </w:rPr>
        <w:t>), as amended from time to time, issued under clause (h) of sub-section (2) of Section 47 of Foreign Exchange Management Act, 1999 (Act 42 of 1999) as amended from time to time.</w:t>
      </w:r>
    </w:p>
    <w:p w:rsidR="00DA1141" w:rsidRDefault="00DA1141" w:rsidP="00DA1141">
      <w:pPr>
        <w:pStyle w:val="NormalWeb"/>
        <w:jc w:val="both"/>
        <w:rPr>
          <w:rFonts w:ascii="Arial" w:hAnsi="Arial" w:cs="Arial"/>
          <w:color w:val="000000"/>
          <w:sz w:val="20"/>
          <w:szCs w:val="20"/>
        </w:rPr>
      </w:pPr>
      <w:r>
        <w:rPr>
          <w:rFonts w:ascii="Arial" w:hAnsi="Arial" w:cs="Arial"/>
          <w:color w:val="000000"/>
          <w:sz w:val="20"/>
          <w:szCs w:val="20"/>
        </w:rPr>
        <w:t>2. Within the contours of the Regulations, the Reserve Bank issues directions to Authorised Persons under Section 11 of the Foreign Exchange Management Act, 1999 (Act 42 of 1999). These Directions lay down the modalities for the AD Cat-I banks for facilitating hedging of commodity price risk and freight risk in overseas markets by their customers / constituents.</w:t>
      </w:r>
    </w:p>
    <w:p w:rsidR="00DA1141" w:rsidRDefault="00DA1141" w:rsidP="00DA1141">
      <w:pPr>
        <w:pStyle w:val="NormalWeb"/>
        <w:jc w:val="both"/>
        <w:rPr>
          <w:rFonts w:ascii="Arial" w:hAnsi="Arial" w:cs="Arial"/>
          <w:color w:val="000000"/>
          <w:sz w:val="20"/>
          <w:szCs w:val="20"/>
        </w:rPr>
      </w:pPr>
      <w:r>
        <w:rPr>
          <w:rFonts w:ascii="Arial" w:hAnsi="Arial" w:cs="Arial"/>
          <w:color w:val="000000"/>
          <w:sz w:val="20"/>
          <w:szCs w:val="20"/>
        </w:rPr>
        <w:t>3. The Master Direction – Foreign Exchange Management (Hedging of Commodity Price Risk and Freight Risk in Overseas Markets) Directions, 2022 are </w:t>
      </w:r>
      <w:hyperlink r:id="rId188" w:anchor="enclosed" w:history="1">
        <w:r>
          <w:rPr>
            <w:rStyle w:val="Hyperlink"/>
            <w:rFonts w:ascii="Arial" w:hAnsi="Arial" w:cs="Arial"/>
            <w:sz w:val="20"/>
            <w:szCs w:val="20"/>
          </w:rPr>
          <w:t>enclosed</w:t>
        </w:r>
      </w:hyperlink>
      <w:r>
        <w:rPr>
          <w:rFonts w:ascii="Arial" w:hAnsi="Arial" w:cs="Arial"/>
          <w:color w:val="000000"/>
          <w:sz w:val="20"/>
          <w:szCs w:val="20"/>
        </w:rPr>
        <w:t> herewith. AD Cat-I banks may bring the contents of these Directions to the notice of their customers / constituents concerned.</w:t>
      </w:r>
    </w:p>
    <w:p w:rsidR="00DA1141" w:rsidRDefault="00DA1141" w:rsidP="00DA1141">
      <w:pPr>
        <w:pStyle w:val="NormalWeb"/>
        <w:jc w:val="both"/>
        <w:rPr>
          <w:rFonts w:ascii="Arial" w:hAnsi="Arial" w:cs="Arial"/>
          <w:color w:val="000000"/>
          <w:sz w:val="20"/>
          <w:szCs w:val="20"/>
        </w:rPr>
      </w:pPr>
      <w:r>
        <w:rPr>
          <w:rFonts w:ascii="Arial" w:hAnsi="Arial" w:cs="Arial"/>
          <w:color w:val="000000"/>
          <w:sz w:val="20"/>
          <w:szCs w:val="20"/>
        </w:rPr>
        <w:t>4. The directions contained in this circular have been issued under Sections 10(4) and 11(1) of the Foreign Exchange Management Act, 1999 (42 of 1999) and are without prejudice to permissions/ approvals, if any, required under any other law.</w:t>
      </w:r>
    </w:p>
    <w:p w:rsidR="00DA1141" w:rsidRDefault="00DA1141" w:rsidP="00DA1141">
      <w:pPr>
        <w:pStyle w:val="NormalWeb"/>
        <w:spacing w:after="0" w:afterAutospacing="0"/>
        <w:rPr>
          <w:rFonts w:ascii="Arial" w:hAnsi="Arial" w:cs="Arial"/>
          <w:color w:val="000000"/>
          <w:sz w:val="20"/>
          <w:szCs w:val="20"/>
        </w:rPr>
      </w:pPr>
      <w:r>
        <w:rPr>
          <w:rFonts w:ascii="Arial" w:hAnsi="Arial" w:cs="Arial"/>
          <w:color w:val="000000"/>
          <w:sz w:val="20"/>
          <w:szCs w:val="20"/>
        </w:rPr>
        <w:t>Yours faithfully,</w:t>
      </w:r>
    </w:p>
    <w:p w:rsidR="00DA1141" w:rsidRDefault="00DA1141" w:rsidP="00DA1141">
      <w:pPr>
        <w:pStyle w:val="NormalWeb"/>
        <w:rPr>
          <w:rFonts w:ascii="Arial" w:hAnsi="Arial" w:cs="Arial"/>
          <w:color w:val="000000"/>
          <w:sz w:val="20"/>
          <w:szCs w:val="20"/>
        </w:rPr>
      </w:pPr>
      <w:r>
        <w:rPr>
          <w:rFonts w:ascii="Arial" w:hAnsi="Arial" w:cs="Arial"/>
          <w:color w:val="000000"/>
          <w:sz w:val="20"/>
          <w:szCs w:val="20"/>
        </w:rPr>
        <w:t xml:space="preserve">(Dimple </w:t>
      </w:r>
      <w:proofErr w:type="spellStart"/>
      <w:r>
        <w:rPr>
          <w:rFonts w:ascii="Arial" w:hAnsi="Arial" w:cs="Arial"/>
          <w:color w:val="000000"/>
          <w:sz w:val="20"/>
          <w:szCs w:val="20"/>
        </w:rPr>
        <w:t>Bhandia</w:t>
      </w:r>
      <w:proofErr w:type="spellEnd"/>
      <w:r>
        <w:rPr>
          <w:rFonts w:ascii="Arial" w:hAnsi="Arial" w:cs="Arial"/>
          <w:color w:val="000000"/>
          <w:sz w:val="20"/>
          <w:szCs w:val="20"/>
        </w:rPr>
        <w:t>)</w:t>
      </w:r>
      <w:r>
        <w:rPr>
          <w:rFonts w:ascii="Arial" w:hAnsi="Arial" w:cs="Arial"/>
          <w:color w:val="000000"/>
          <w:sz w:val="20"/>
          <w:szCs w:val="20"/>
        </w:rPr>
        <w:br/>
        <w:t>Chief General Manager</w:t>
      </w:r>
    </w:p>
    <w:p w:rsidR="00DA1141" w:rsidRDefault="00DA1141" w:rsidP="00DA1141">
      <w:pPr>
        <w:spacing w:after="0"/>
        <w:rPr>
          <w:rFonts w:ascii="Arial" w:hAnsi="Arial" w:cs="Arial"/>
          <w:sz w:val="20"/>
          <w:szCs w:val="20"/>
        </w:rPr>
      </w:pPr>
    </w:p>
    <w:p w:rsidR="00DA1141" w:rsidRDefault="00DA1141" w:rsidP="00DA1141">
      <w:pPr>
        <w:spacing w:after="0"/>
        <w:rPr>
          <w:rFonts w:ascii="Arial" w:hAnsi="Arial" w:cs="Arial"/>
          <w:sz w:val="20"/>
          <w:szCs w:val="20"/>
        </w:rPr>
      </w:pPr>
    </w:p>
    <w:p w:rsidR="00DA1141" w:rsidRDefault="00DA1141" w:rsidP="00DA1141">
      <w:pPr>
        <w:spacing w:after="0"/>
        <w:rPr>
          <w:rFonts w:ascii="Arial" w:hAnsi="Arial" w:cs="Arial"/>
          <w:sz w:val="20"/>
          <w:szCs w:val="20"/>
        </w:rPr>
      </w:pPr>
    </w:p>
    <w:p w:rsidR="00DA1141" w:rsidRDefault="00DA1141" w:rsidP="00DA1141">
      <w:pPr>
        <w:spacing w:after="0"/>
        <w:rPr>
          <w:rFonts w:ascii="Arial" w:hAnsi="Arial" w:cs="Arial"/>
          <w:sz w:val="20"/>
          <w:szCs w:val="20"/>
        </w:rPr>
      </w:pPr>
    </w:p>
    <w:p w:rsidR="00DA1141" w:rsidRPr="00435B25" w:rsidRDefault="00DA1141" w:rsidP="00DA1141">
      <w:pPr>
        <w:spacing w:after="0"/>
        <w:rPr>
          <w:rFonts w:ascii="Arial" w:hAnsi="Arial" w:cs="Arial"/>
          <w:sz w:val="20"/>
          <w:szCs w:val="20"/>
        </w:rPr>
      </w:pPr>
      <w:r w:rsidRPr="00435B25">
        <w:rPr>
          <w:rFonts w:ascii="Arial" w:hAnsi="Arial" w:cs="Arial"/>
          <w:sz w:val="20"/>
          <w:szCs w:val="20"/>
        </w:rPr>
        <w:t>More details can be referred to in the below link.</w:t>
      </w:r>
    </w:p>
    <w:p w:rsidR="00DA1141" w:rsidRDefault="00DA1141" w:rsidP="00DA1141">
      <w:pPr>
        <w:spacing w:after="0"/>
        <w:rPr>
          <w:rFonts w:ascii="Arial" w:hAnsi="Arial" w:cs="Arial"/>
          <w:sz w:val="20"/>
          <w:szCs w:val="20"/>
        </w:rPr>
      </w:pPr>
      <w:r w:rsidRPr="00435B25">
        <w:rPr>
          <w:rFonts w:ascii="Arial" w:hAnsi="Arial" w:cs="Arial"/>
          <w:sz w:val="20"/>
          <w:szCs w:val="20"/>
        </w:rPr>
        <w:t>Reference Link:</w:t>
      </w:r>
      <w:r>
        <w:rPr>
          <w:rFonts w:ascii="Arial" w:hAnsi="Arial" w:cs="Arial"/>
          <w:sz w:val="20"/>
          <w:szCs w:val="20"/>
        </w:rPr>
        <w:t xml:space="preserve"> </w:t>
      </w:r>
      <w:hyperlink r:id="rId189" w:history="1">
        <w:r w:rsidRPr="00200311">
          <w:rPr>
            <w:rStyle w:val="Hyperlink"/>
            <w:rFonts w:ascii="Arial" w:hAnsi="Arial" w:cs="Arial"/>
            <w:sz w:val="20"/>
            <w:szCs w:val="20"/>
          </w:rPr>
          <w:t>https://www.rbi.org.in/Scripts/BS_ViewMasDirections.aspx?id=12427</w:t>
        </w:r>
      </w:hyperlink>
    </w:p>
    <w:p w:rsidR="00DA1141" w:rsidRDefault="00DA1141" w:rsidP="00DA1141">
      <w:pPr>
        <w:spacing w:after="0"/>
        <w:rPr>
          <w:rFonts w:ascii="Arial" w:hAnsi="Arial" w:cs="Arial"/>
          <w:sz w:val="20"/>
          <w:szCs w:val="20"/>
        </w:rPr>
      </w:pPr>
    </w:p>
    <w:p w:rsidR="00DA1141" w:rsidRDefault="00DA1141" w:rsidP="00DA1141">
      <w:pPr>
        <w:spacing w:after="0"/>
        <w:rPr>
          <w:rFonts w:ascii="Arial" w:hAnsi="Arial" w:cs="Arial"/>
          <w:sz w:val="20"/>
          <w:szCs w:val="20"/>
        </w:rPr>
      </w:pPr>
    </w:p>
    <w:p w:rsidR="00DA1141" w:rsidRDefault="00DA1141" w:rsidP="00DA1141">
      <w:pPr>
        <w:spacing w:after="0"/>
        <w:rPr>
          <w:rFonts w:ascii="Arial" w:hAnsi="Arial" w:cs="Arial"/>
          <w:sz w:val="20"/>
          <w:szCs w:val="20"/>
        </w:rPr>
      </w:pPr>
    </w:p>
    <w:p w:rsidR="00DA1141" w:rsidRDefault="00DA1141" w:rsidP="00DA1141">
      <w:pPr>
        <w:spacing w:after="0"/>
        <w:rPr>
          <w:rFonts w:ascii="Arial" w:hAnsi="Arial" w:cs="Arial"/>
          <w:sz w:val="20"/>
          <w:szCs w:val="20"/>
        </w:rPr>
      </w:pPr>
    </w:p>
    <w:p w:rsidR="00DA1141" w:rsidRDefault="00DA1141" w:rsidP="00DA1141">
      <w:pPr>
        <w:spacing w:after="0"/>
        <w:rPr>
          <w:rFonts w:ascii="Arial" w:hAnsi="Arial" w:cs="Arial"/>
          <w:sz w:val="20"/>
          <w:szCs w:val="20"/>
        </w:rPr>
      </w:pPr>
    </w:p>
    <w:p w:rsidR="00DA1141" w:rsidRDefault="00DA1141" w:rsidP="00DA1141">
      <w:pPr>
        <w:spacing w:after="0"/>
        <w:rPr>
          <w:rFonts w:ascii="Arial" w:hAnsi="Arial" w:cs="Arial"/>
          <w:sz w:val="20"/>
          <w:szCs w:val="20"/>
        </w:rPr>
      </w:pPr>
    </w:p>
    <w:p w:rsidR="00DA1141" w:rsidRDefault="00DA1141" w:rsidP="00DA1141">
      <w:pPr>
        <w:spacing w:after="0"/>
        <w:rPr>
          <w:rFonts w:ascii="Arial" w:hAnsi="Arial" w:cs="Arial"/>
          <w:sz w:val="20"/>
          <w:szCs w:val="20"/>
        </w:rPr>
      </w:pPr>
    </w:p>
    <w:p w:rsidR="00DA1141" w:rsidRDefault="00DA1141" w:rsidP="00DA1141">
      <w:pPr>
        <w:spacing w:after="0"/>
        <w:rPr>
          <w:rFonts w:ascii="Arial" w:hAnsi="Arial" w:cs="Arial"/>
          <w:sz w:val="20"/>
          <w:szCs w:val="20"/>
        </w:rPr>
      </w:pPr>
    </w:p>
    <w:p w:rsidR="00DA1141" w:rsidRDefault="00DA1141" w:rsidP="00DA1141">
      <w:pPr>
        <w:spacing w:after="0"/>
        <w:rPr>
          <w:rFonts w:ascii="Arial" w:hAnsi="Arial" w:cs="Arial"/>
          <w:sz w:val="20"/>
          <w:szCs w:val="20"/>
        </w:rPr>
      </w:pPr>
    </w:p>
    <w:p w:rsidR="00DA1141" w:rsidRDefault="00DA1141" w:rsidP="00DA1141">
      <w:pPr>
        <w:spacing w:after="0"/>
        <w:rPr>
          <w:rFonts w:ascii="Arial" w:hAnsi="Arial" w:cs="Arial"/>
          <w:sz w:val="20"/>
          <w:szCs w:val="20"/>
        </w:rPr>
      </w:pPr>
    </w:p>
    <w:p w:rsidR="00DA1141" w:rsidRDefault="00DA1141" w:rsidP="00DA1141">
      <w:pPr>
        <w:spacing w:after="0"/>
        <w:rPr>
          <w:rFonts w:ascii="Arial" w:hAnsi="Arial" w:cs="Arial"/>
          <w:b/>
          <w:bCs/>
          <w:color w:val="000000"/>
          <w:sz w:val="20"/>
          <w:szCs w:val="20"/>
        </w:rPr>
      </w:pPr>
      <w:r>
        <w:rPr>
          <w:rFonts w:ascii="Arial" w:hAnsi="Arial" w:cs="Arial"/>
          <w:b/>
          <w:bCs/>
          <w:color w:val="000000"/>
          <w:sz w:val="20"/>
          <w:szCs w:val="20"/>
        </w:rPr>
        <w:t>Data Format for Furnishing of Credit Information to Credit Information Companies and other Regulatory Measures</w:t>
      </w:r>
    </w:p>
    <w:p w:rsidR="00DA1141" w:rsidRDefault="00DA1141" w:rsidP="00DA1141">
      <w:pPr>
        <w:spacing w:after="0"/>
        <w:rPr>
          <w:rFonts w:ascii="Arial" w:hAnsi="Arial" w:cs="Arial"/>
          <w:b/>
          <w:bCs/>
          <w:color w:val="000000"/>
          <w:sz w:val="20"/>
          <w:szCs w:val="20"/>
        </w:rPr>
      </w:pPr>
    </w:p>
    <w:p w:rsidR="00DA1141" w:rsidRDefault="00DA1141" w:rsidP="00DA1141">
      <w:pPr>
        <w:pStyle w:val="NormalWeb"/>
        <w:jc w:val="both"/>
        <w:rPr>
          <w:rFonts w:ascii="Arial" w:hAnsi="Arial" w:cs="Arial"/>
          <w:color w:val="000000"/>
          <w:sz w:val="20"/>
          <w:szCs w:val="20"/>
        </w:rPr>
      </w:pPr>
      <w:r>
        <w:rPr>
          <w:rFonts w:ascii="Arial" w:hAnsi="Arial" w:cs="Arial"/>
          <w:color w:val="000000"/>
          <w:sz w:val="20"/>
          <w:szCs w:val="20"/>
        </w:rPr>
        <w:t>RBI/2022-23/154</w:t>
      </w:r>
      <w:r>
        <w:rPr>
          <w:rFonts w:ascii="Arial" w:hAnsi="Arial" w:cs="Arial"/>
          <w:color w:val="000000"/>
          <w:sz w:val="20"/>
          <w:szCs w:val="20"/>
        </w:rPr>
        <w:br/>
        <w:t>DoR.FIN.REC.90/20.16.056/2022-23</w:t>
      </w:r>
    </w:p>
    <w:p w:rsidR="00DA1141" w:rsidRDefault="00DA1141" w:rsidP="00DA1141">
      <w:pPr>
        <w:pStyle w:val="NormalWeb"/>
        <w:jc w:val="right"/>
        <w:rPr>
          <w:rFonts w:ascii="Arial" w:hAnsi="Arial" w:cs="Arial"/>
          <w:color w:val="000000"/>
          <w:sz w:val="20"/>
          <w:szCs w:val="20"/>
        </w:rPr>
      </w:pPr>
      <w:r>
        <w:rPr>
          <w:rFonts w:ascii="Arial" w:hAnsi="Arial" w:cs="Arial"/>
          <w:color w:val="000000"/>
          <w:sz w:val="20"/>
          <w:szCs w:val="20"/>
        </w:rPr>
        <w:t>December 13, 2022</w:t>
      </w:r>
    </w:p>
    <w:p w:rsidR="00DA1141" w:rsidRDefault="00DA1141" w:rsidP="00DA1141">
      <w:pPr>
        <w:pStyle w:val="NormalWeb"/>
        <w:rPr>
          <w:rFonts w:ascii="Arial" w:hAnsi="Arial" w:cs="Arial"/>
          <w:color w:val="000000"/>
          <w:sz w:val="20"/>
          <w:szCs w:val="20"/>
        </w:rPr>
      </w:pPr>
      <w:r>
        <w:rPr>
          <w:rFonts w:ascii="Arial" w:hAnsi="Arial" w:cs="Arial"/>
          <w:color w:val="000000"/>
          <w:sz w:val="20"/>
          <w:szCs w:val="20"/>
        </w:rPr>
        <w:t>All Commercial Banks (including Small Finance Banks, Local Area Banks and Regional Rural Banks)</w:t>
      </w:r>
      <w:r>
        <w:rPr>
          <w:rFonts w:ascii="Arial" w:hAnsi="Arial" w:cs="Arial"/>
          <w:color w:val="000000"/>
          <w:sz w:val="20"/>
          <w:szCs w:val="20"/>
        </w:rPr>
        <w:br/>
        <w:t>All Primary (Urban) Co-operative Banks/State Co-operative Banks/District Central Co-operative Banks</w:t>
      </w:r>
      <w:r>
        <w:rPr>
          <w:rFonts w:ascii="Arial" w:hAnsi="Arial" w:cs="Arial"/>
          <w:color w:val="000000"/>
          <w:sz w:val="20"/>
          <w:szCs w:val="20"/>
        </w:rPr>
        <w:br/>
        <w:t xml:space="preserve">All-India Financial Institutions (Exim Bank, NABARD, NHB, SIDBI and </w:t>
      </w:r>
      <w:proofErr w:type="spellStart"/>
      <w:r>
        <w:rPr>
          <w:rFonts w:ascii="Arial" w:hAnsi="Arial" w:cs="Arial"/>
          <w:color w:val="000000"/>
          <w:sz w:val="20"/>
          <w:szCs w:val="20"/>
        </w:rPr>
        <w:t>NaBFID</w:t>
      </w:r>
      <w:proofErr w:type="spellEnd"/>
      <w:r>
        <w:rPr>
          <w:rFonts w:ascii="Arial" w:hAnsi="Arial" w:cs="Arial"/>
          <w:color w:val="000000"/>
          <w:sz w:val="20"/>
          <w:szCs w:val="20"/>
        </w:rPr>
        <w:t>)</w:t>
      </w:r>
      <w:r>
        <w:rPr>
          <w:rFonts w:ascii="Arial" w:hAnsi="Arial" w:cs="Arial"/>
          <w:color w:val="000000"/>
          <w:sz w:val="20"/>
          <w:szCs w:val="20"/>
        </w:rPr>
        <w:br/>
        <w:t>All Non-Banking Financial Companies (including Housing Finance Companies)</w:t>
      </w:r>
      <w:r>
        <w:rPr>
          <w:rFonts w:ascii="Arial" w:hAnsi="Arial" w:cs="Arial"/>
          <w:color w:val="000000"/>
          <w:sz w:val="20"/>
          <w:szCs w:val="20"/>
        </w:rPr>
        <w:br/>
        <w:t>All Credit Information Companies</w:t>
      </w:r>
    </w:p>
    <w:p w:rsidR="00DA1141" w:rsidRDefault="00DA1141" w:rsidP="00DA1141">
      <w:pPr>
        <w:pStyle w:val="NormalWeb"/>
        <w:jc w:val="both"/>
        <w:rPr>
          <w:rFonts w:ascii="Arial" w:hAnsi="Arial" w:cs="Arial"/>
          <w:color w:val="000000"/>
          <w:sz w:val="20"/>
          <w:szCs w:val="20"/>
        </w:rPr>
      </w:pPr>
      <w:r>
        <w:rPr>
          <w:rFonts w:ascii="Arial" w:hAnsi="Arial" w:cs="Arial"/>
          <w:color w:val="000000"/>
          <w:sz w:val="20"/>
          <w:szCs w:val="20"/>
        </w:rPr>
        <w:t>Madam/Dear Sir,</w:t>
      </w:r>
    </w:p>
    <w:p w:rsidR="00DA1141" w:rsidRDefault="00DA1141" w:rsidP="00DA1141">
      <w:pPr>
        <w:pStyle w:val="head"/>
        <w:jc w:val="both"/>
        <w:rPr>
          <w:rFonts w:ascii="Arial" w:hAnsi="Arial" w:cs="Arial"/>
          <w:b/>
          <w:bCs/>
          <w:color w:val="000000"/>
          <w:sz w:val="20"/>
          <w:szCs w:val="20"/>
        </w:rPr>
      </w:pPr>
      <w:r>
        <w:rPr>
          <w:rFonts w:ascii="Arial" w:hAnsi="Arial" w:cs="Arial"/>
          <w:b/>
          <w:bCs/>
          <w:color w:val="000000"/>
          <w:sz w:val="20"/>
          <w:szCs w:val="20"/>
        </w:rPr>
        <w:t>Data Format for Furnishing of Credit Information to Credit Information Companies and other Regulatory Measures</w:t>
      </w:r>
    </w:p>
    <w:p w:rsidR="00DA1141" w:rsidRDefault="00DA1141" w:rsidP="00DA1141">
      <w:pPr>
        <w:pStyle w:val="NormalWeb"/>
        <w:jc w:val="both"/>
        <w:rPr>
          <w:rFonts w:ascii="Arial" w:hAnsi="Arial" w:cs="Arial"/>
          <w:color w:val="000000"/>
          <w:sz w:val="20"/>
          <w:szCs w:val="20"/>
        </w:rPr>
      </w:pPr>
      <w:r>
        <w:rPr>
          <w:rFonts w:ascii="Arial" w:hAnsi="Arial" w:cs="Arial"/>
          <w:color w:val="000000"/>
          <w:sz w:val="20"/>
          <w:szCs w:val="20"/>
        </w:rPr>
        <w:t>Please refer to the </w:t>
      </w:r>
      <w:hyperlink r:id="rId190" w:tgtFrame="_blank" w:history="1">
        <w:r>
          <w:rPr>
            <w:rStyle w:val="Hyperlink"/>
            <w:rFonts w:ascii="Arial" w:hAnsi="Arial" w:cs="Arial"/>
            <w:sz w:val="20"/>
            <w:szCs w:val="20"/>
          </w:rPr>
          <w:t>circular DBOD.No.CID.BC.127/20.16.056/2013-14 dated June 27, 2014</w:t>
        </w:r>
      </w:hyperlink>
      <w:r>
        <w:rPr>
          <w:rFonts w:ascii="Arial" w:hAnsi="Arial" w:cs="Arial"/>
          <w:color w:val="000000"/>
          <w:sz w:val="20"/>
          <w:szCs w:val="20"/>
        </w:rPr>
        <w:t>, inter alia setting out a Uniform Credit Reporting Format for reporting credit information to the Credit Information Companies (CICs).</w:t>
      </w:r>
    </w:p>
    <w:p w:rsidR="00DA1141" w:rsidRDefault="00DA1141" w:rsidP="00DA1141">
      <w:pPr>
        <w:pStyle w:val="NormalWeb"/>
        <w:jc w:val="both"/>
        <w:rPr>
          <w:rFonts w:ascii="Arial" w:hAnsi="Arial" w:cs="Arial"/>
          <w:color w:val="000000"/>
          <w:sz w:val="20"/>
          <w:szCs w:val="20"/>
        </w:rPr>
      </w:pPr>
      <w:r>
        <w:rPr>
          <w:rFonts w:ascii="Arial" w:hAnsi="Arial" w:cs="Arial"/>
          <w:color w:val="000000"/>
          <w:sz w:val="20"/>
          <w:szCs w:val="20"/>
        </w:rPr>
        <w:t>2. It is clarified that cases admitted with National Company Law Tribunal (NCLT)/National Company Law Appellate Tribunal (NCLAT) under the Insolvency and Bankruptcy Code, 2016 are also required to be reported under the suit-filed cases in reporting to the CICs.</w:t>
      </w:r>
    </w:p>
    <w:p w:rsidR="00DA1141" w:rsidRDefault="00DA1141" w:rsidP="00DA1141">
      <w:pPr>
        <w:pStyle w:val="NormalWeb"/>
        <w:jc w:val="both"/>
        <w:rPr>
          <w:rFonts w:ascii="Arial" w:hAnsi="Arial" w:cs="Arial"/>
          <w:color w:val="000000"/>
          <w:sz w:val="20"/>
          <w:szCs w:val="20"/>
        </w:rPr>
      </w:pPr>
      <w:r>
        <w:rPr>
          <w:rFonts w:ascii="Arial" w:hAnsi="Arial" w:cs="Arial"/>
          <w:color w:val="000000"/>
          <w:sz w:val="20"/>
          <w:szCs w:val="20"/>
        </w:rPr>
        <w:t>3. Credit Institutions (CIs) shall ensure implementation of this circular latest by February 28, 2023.</w:t>
      </w:r>
    </w:p>
    <w:p w:rsidR="00DA1141" w:rsidRDefault="00DA1141" w:rsidP="00DA1141">
      <w:pPr>
        <w:pStyle w:val="NormalWeb"/>
        <w:jc w:val="both"/>
        <w:rPr>
          <w:rFonts w:ascii="Arial" w:hAnsi="Arial" w:cs="Arial"/>
          <w:color w:val="000000"/>
          <w:sz w:val="20"/>
          <w:szCs w:val="20"/>
        </w:rPr>
      </w:pPr>
      <w:r>
        <w:rPr>
          <w:rFonts w:ascii="Arial" w:hAnsi="Arial" w:cs="Arial"/>
          <w:color w:val="000000"/>
          <w:sz w:val="20"/>
          <w:szCs w:val="20"/>
        </w:rPr>
        <w:t>Yours faithfully</w:t>
      </w:r>
    </w:p>
    <w:p w:rsidR="00DA1141" w:rsidRDefault="00DA1141" w:rsidP="00DA1141">
      <w:pPr>
        <w:pStyle w:val="NormalWeb"/>
        <w:rPr>
          <w:rFonts w:ascii="Arial" w:hAnsi="Arial" w:cs="Arial"/>
          <w:color w:val="000000"/>
          <w:sz w:val="20"/>
          <w:szCs w:val="20"/>
        </w:rPr>
      </w:pPr>
      <w:r>
        <w:rPr>
          <w:rFonts w:ascii="Arial" w:hAnsi="Arial" w:cs="Arial"/>
          <w:color w:val="000000"/>
          <w:sz w:val="20"/>
          <w:szCs w:val="20"/>
        </w:rPr>
        <w:t>(J.P. Sharma)</w:t>
      </w:r>
      <w:r>
        <w:rPr>
          <w:rFonts w:ascii="Arial" w:hAnsi="Arial" w:cs="Arial"/>
          <w:color w:val="000000"/>
          <w:sz w:val="20"/>
          <w:szCs w:val="20"/>
        </w:rPr>
        <w:br/>
        <w:t>Chief General Manager</w:t>
      </w:r>
    </w:p>
    <w:p w:rsidR="00DA1141" w:rsidRDefault="00DA1141" w:rsidP="00DA1141">
      <w:pPr>
        <w:spacing w:after="0"/>
        <w:rPr>
          <w:rFonts w:ascii="Arial" w:hAnsi="Arial" w:cs="Arial"/>
          <w:sz w:val="20"/>
          <w:szCs w:val="20"/>
        </w:rPr>
      </w:pPr>
    </w:p>
    <w:p w:rsidR="00DA1141" w:rsidRDefault="00DA1141" w:rsidP="00DA1141">
      <w:pPr>
        <w:spacing w:after="0"/>
        <w:rPr>
          <w:rFonts w:ascii="Arial" w:hAnsi="Arial" w:cs="Arial"/>
          <w:sz w:val="20"/>
          <w:szCs w:val="20"/>
        </w:rPr>
      </w:pPr>
    </w:p>
    <w:p w:rsidR="00DA1141" w:rsidRDefault="00DA1141" w:rsidP="00DA1141">
      <w:pPr>
        <w:spacing w:after="0"/>
        <w:rPr>
          <w:rFonts w:ascii="Arial" w:hAnsi="Arial" w:cs="Arial"/>
          <w:sz w:val="20"/>
          <w:szCs w:val="20"/>
        </w:rPr>
      </w:pPr>
    </w:p>
    <w:p w:rsidR="00DA1141" w:rsidRDefault="00DA1141" w:rsidP="00DA1141">
      <w:pPr>
        <w:spacing w:after="0"/>
        <w:rPr>
          <w:rFonts w:ascii="Arial" w:hAnsi="Arial" w:cs="Arial"/>
          <w:sz w:val="20"/>
          <w:szCs w:val="20"/>
        </w:rPr>
      </w:pPr>
      <w:r w:rsidRPr="00435B25">
        <w:rPr>
          <w:rFonts w:ascii="Arial" w:hAnsi="Arial" w:cs="Arial"/>
          <w:sz w:val="20"/>
          <w:szCs w:val="20"/>
        </w:rPr>
        <w:t>More details can be referred to in the below link.</w:t>
      </w:r>
    </w:p>
    <w:p w:rsidR="00DA1141" w:rsidRDefault="00DA1141" w:rsidP="00DA1141">
      <w:pPr>
        <w:spacing w:after="0"/>
        <w:rPr>
          <w:rFonts w:ascii="Arial" w:hAnsi="Arial" w:cs="Arial"/>
          <w:sz w:val="20"/>
          <w:szCs w:val="20"/>
        </w:rPr>
      </w:pPr>
      <w:r w:rsidRPr="00435B25">
        <w:rPr>
          <w:rFonts w:ascii="Arial" w:hAnsi="Arial" w:cs="Arial"/>
          <w:sz w:val="20"/>
          <w:szCs w:val="20"/>
        </w:rPr>
        <w:t>Reference Link:</w:t>
      </w:r>
      <w:r>
        <w:rPr>
          <w:rFonts w:ascii="Arial" w:hAnsi="Arial" w:cs="Arial"/>
          <w:sz w:val="20"/>
          <w:szCs w:val="20"/>
        </w:rPr>
        <w:t xml:space="preserve"> </w:t>
      </w:r>
      <w:hyperlink r:id="rId191" w:history="1">
        <w:r w:rsidRPr="006865D6">
          <w:rPr>
            <w:rStyle w:val="Hyperlink"/>
            <w:rFonts w:ascii="Arial" w:hAnsi="Arial" w:cs="Arial"/>
            <w:sz w:val="20"/>
            <w:szCs w:val="20"/>
          </w:rPr>
          <w:t>https://m.rbi.org.in/scripts/BS_CircularIndexDisplay.aspx?Id=12425</w:t>
        </w:r>
      </w:hyperlink>
    </w:p>
    <w:p w:rsidR="00DA1141" w:rsidRDefault="00DA1141" w:rsidP="00DA1141">
      <w:pPr>
        <w:spacing w:after="0"/>
        <w:rPr>
          <w:rFonts w:ascii="Arial" w:hAnsi="Arial" w:cs="Arial"/>
          <w:sz w:val="20"/>
          <w:szCs w:val="20"/>
        </w:rPr>
      </w:pPr>
    </w:p>
    <w:p w:rsidR="00DA1141" w:rsidRDefault="00DA1141" w:rsidP="00DA1141">
      <w:pPr>
        <w:spacing w:after="0"/>
        <w:rPr>
          <w:rFonts w:ascii="Arial" w:hAnsi="Arial" w:cs="Arial"/>
          <w:sz w:val="20"/>
          <w:szCs w:val="20"/>
        </w:rPr>
      </w:pPr>
    </w:p>
    <w:p w:rsidR="00DA1141" w:rsidRPr="00706A14" w:rsidRDefault="00DA1141" w:rsidP="00DA1141">
      <w:pPr>
        <w:spacing w:after="0"/>
        <w:rPr>
          <w:rFonts w:ascii="Arial" w:hAnsi="Arial" w:cs="Arial"/>
          <w:sz w:val="20"/>
          <w:szCs w:val="20"/>
        </w:rPr>
      </w:pPr>
    </w:p>
    <w:p w:rsidR="00DA1141" w:rsidRDefault="00DA1141" w:rsidP="00DA1141">
      <w:pPr>
        <w:spacing w:after="0"/>
        <w:rPr>
          <w:rFonts w:ascii="Arial" w:hAnsi="Arial" w:cs="Arial"/>
          <w:sz w:val="20"/>
          <w:szCs w:val="20"/>
        </w:rPr>
      </w:pPr>
    </w:p>
    <w:p w:rsidR="00DA1141" w:rsidRDefault="00DA1141" w:rsidP="00DA1141">
      <w:pPr>
        <w:spacing w:after="0"/>
        <w:rPr>
          <w:rFonts w:ascii="Arial" w:hAnsi="Arial" w:cs="Arial"/>
          <w:sz w:val="20"/>
          <w:szCs w:val="20"/>
        </w:rPr>
      </w:pPr>
    </w:p>
    <w:p w:rsidR="00DA1141" w:rsidRDefault="00DA1141" w:rsidP="00DA1141">
      <w:pPr>
        <w:spacing w:after="0"/>
        <w:rPr>
          <w:rFonts w:ascii="Arial" w:hAnsi="Arial" w:cs="Arial"/>
          <w:sz w:val="20"/>
          <w:szCs w:val="20"/>
        </w:rPr>
      </w:pPr>
    </w:p>
    <w:p w:rsidR="00DA1141" w:rsidRDefault="00DA1141" w:rsidP="00DA1141">
      <w:pPr>
        <w:spacing w:after="0"/>
        <w:rPr>
          <w:rFonts w:ascii="Arial" w:hAnsi="Arial" w:cs="Arial"/>
          <w:sz w:val="20"/>
          <w:szCs w:val="20"/>
        </w:rPr>
      </w:pPr>
    </w:p>
    <w:p w:rsidR="00DA1141" w:rsidRDefault="00DA1141" w:rsidP="00DA1141">
      <w:pPr>
        <w:spacing w:after="0"/>
        <w:rPr>
          <w:rFonts w:ascii="Arial" w:hAnsi="Arial" w:cs="Arial"/>
          <w:sz w:val="20"/>
          <w:szCs w:val="20"/>
        </w:rPr>
      </w:pPr>
    </w:p>
    <w:p w:rsidR="00DA1141" w:rsidRDefault="00DA1141" w:rsidP="00DA1141">
      <w:pPr>
        <w:spacing w:after="0"/>
        <w:rPr>
          <w:rFonts w:ascii="Arial" w:hAnsi="Arial" w:cs="Arial"/>
          <w:sz w:val="20"/>
          <w:szCs w:val="20"/>
        </w:rPr>
      </w:pPr>
    </w:p>
    <w:p w:rsidR="00DA1141" w:rsidRDefault="00DA1141" w:rsidP="00DA1141">
      <w:pPr>
        <w:spacing w:after="0"/>
        <w:rPr>
          <w:rFonts w:ascii="Arial" w:hAnsi="Arial" w:cs="Arial"/>
          <w:sz w:val="20"/>
          <w:szCs w:val="20"/>
        </w:rPr>
      </w:pPr>
    </w:p>
    <w:p w:rsidR="00DA1141" w:rsidRDefault="00DA1141" w:rsidP="00DA1141">
      <w:pPr>
        <w:spacing w:after="0"/>
        <w:rPr>
          <w:rFonts w:ascii="Arial" w:hAnsi="Arial" w:cs="Arial"/>
          <w:sz w:val="20"/>
          <w:szCs w:val="20"/>
        </w:rPr>
      </w:pPr>
    </w:p>
    <w:p w:rsidR="00DA1141" w:rsidRDefault="00DA1141" w:rsidP="00DA1141">
      <w:pPr>
        <w:spacing w:after="0"/>
        <w:rPr>
          <w:rFonts w:ascii="Arial" w:hAnsi="Arial" w:cs="Arial"/>
          <w:sz w:val="20"/>
          <w:szCs w:val="20"/>
        </w:rPr>
      </w:pPr>
    </w:p>
    <w:p w:rsidR="00DA1141" w:rsidRDefault="00DA1141" w:rsidP="00DA1141">
      <w:pPr>
        <w:spacing w:after="0"/>
        <w:rPr>
          <w:rFonts w:ascii="Arial" w:hAnsi="Arial" w:cs="Arial"/>
          <w:sz w:val="20"/>
          <w:szCs w:val="20"/>
        </w:rPr>
      </w:pPr>
    </w:p>
    <w:p w:rsidR="00DA1141" w:rsidRDefault="00DA1141" w:rsidP="00DA1141">
      <w:pPr>
        <w:spacing w:after="0"/>
        <w:rPr>
          <w:rFonts w:ascii="Arial" w:hAnsi="Arial" w:cs="Arial"/>
          <w:sz w:val="20"/>
          <w:szCs w:val="20"/>
        </w:rPr>
      </w:pPr>
    </w:p>
    <w:p w:rsidR="00DA1141" w:rsidRDefault="00DA1141" w:rsidP="00DA1141">
      <w:pPr>
        <w:spacing w:after="0"/>
        <w:rPr>
          <w:rFonts w:ascii="Arial" w:hAnsi="Arial" w:cs="Arial"/>
          <w:sz w:val="20"/>
          <w:szCs w:val="20"/>
        </w:rPr>
      </w:pPr>
    </w:p>
    <w:p w:rsidR="00DA1141" w:rsidRDefault="00DA1141" w:rsidP="00DA1141">
      <w:pPr>
        <w:spacing w:after="0"/>
        <w:rPr>
          <w:rFonts w:ascii="Arial" w:hAnsi="Arial" w:cs="Arial"/>
          <w:sz w:val="20"/>
          <w:szCs w:val="20"/>
        </w:rPr>
      </w:pPr>
    </w:p>
    <w:p w:rsidR="00DA1141" w:rsidRDefault="00DA1141" w:rsidP="00DA1141">
      <w:pPr>
        <w:spacing w:after="0"/>
        <w:rPr>
          <w:rFonts w:ascii="Arial" w:hAnsi="Arial" w:cs="Arial"/>
          <w:b/>
          <w:bCs/>
          <w:color w:val="000000"/>
          <w:sz w:val="20"/>
          <w:szCs w:val="20"/>
        </w:rPr>
      </w:pPr>
      <w:r>
        <w:rPr>
          <w:rFonts w:ascii="Arial" w:hAnsi="Arial" w:cs="Arial"/>
          <w:b/>
          <w:bCs/>
          <w:color w:val="000000"/>
          <w:sz w:val="20"/>
          <w:szCs w:val="20"/>
        </w:rPr>
        <w:t>Reserve Bank of India (Financial Statements - Presentation and Disclosures) Directions, 2021 - Disclosure of material items</w:t>
      </w:r>
    </w:p>
    <w:p w:rsidR="00DA1141" w:rsidRDefault="00DA1141" w:rsidP="00DA1141">
      <w:pPr>
        <w:pStyle w:val="NormalWeb"/>
        <w:jc w:val="both"/>
        <w:rPr>
          <w:rFonts w:ascii="Arial" w:hAnsi="Arial" w:cs="Arial"/>
          <w:color w:val="000000"/>
          <w:sz w:val="20"/>
          <w:szCs w:val="20"/>
        </w:rPr>
      </w:pPr>
      <w:r>
        <w:rPr>
          <w:rFonts w:ascii="Arial" w:hAnsi="Arial" w:cs="Arial"/>
          <w:color w:val="000000"/>
          <w:sz w:val="20"/>
          <w:szCs w:val="20"/>
        </w:rPr>
        <w:t>RBI/2022-23/155</w:t>
      </w:r>
      <w:r>
        <w:rPr>
          <w:rFonts w:ascii="Arial" w:hAnsi="Arial" w:cs="Arial"/>
          <w:color w:val="000000"/>
          <w:sz w:val="20"/>
          <w:szCs w:val="20"/>
        </w:rPr>
        <w:br/>
        <w:t>DOR.ACC.REC.No.91/21.04.018/2022-23</w:t>
      </w:r>
    </w:p>
    <w:p w:rsidR="00DA1141" w:rsidRDefault="00DA1141" w:rsidP="00DA1141">
      <w:pPr>
        <w:pStyle w:val="NormalWeb"/>
        <w:jc w:val="right"/>
        <w:rPr>
          <w:rFonts w:ascii="Arial" w:hAnsi="Arial" w:cs="Arial"/>
          <w:color w:val="000000"/>
          <w:sz w:val="20"/>
          <w:szCs w:val="20"/>
        </w:rPr>
      </w:pPr>
      <w:r>
        <w:rPr>
          <w:rFonts w:ascii="Arial" w:hAnsi="Arial" w:cs="Arial"/>
          <w:color w:val="000000"/>
          <w:sz w:val="20"/>
          <w:szCs w:val="20"/>
        </w:rPr>
        <w:t>December 13, 2022</w:t>
      </w:r>
    </w:p>
    <w:p w:rsidR="00DA1141" w:rsidRDefault="00DA1141" w:rsidP="00DA1141">
      <w:pPr>
        <w:pStyle w:val="NormalWeb"/>
        <w:jc w:val="both"/>
        <w:rPr>
          <w:rFonts w:ascii="Arial" w:hAnsi="Arial" w:cs="Arial"/>
          <w:color w:val="000000"/>
          <w:sz w:val="20"/>
          <w:szCs w:val="20"/>
        </w:rPr>
      </w:pPr>
      <w:r>
        <w:rPr>
          <w:rFonts w:ascii="Arial" w:hAnsi="Arial" w:cs="Arial"/>
          <w:color w:val="000000"/>
          <w:sz w:val="20"/>
          <w:szCs w:val="20"/>
        </w:rPr>
        <w:t>Madam/Sir,</w:t>
      </w:r>
    </w:p>
    <w:p w:rsidR="00DA1141" w:rsidRDefault="00DA1141" w:rsidP="00DA1141">
      <w:pPr>
        <w:pStyle w:val="head"/>
        <w:jc w:val="both"/>
        <w:rPr>
          <w:rFonts w:ascii="Arial" w:hAnsi="Arial" w:cs="Arial"/>
          <w:b/>
          <w:bCs/>
          <w:color w:val="000000"/>
          <w:sz w:val="20"/>
          <w:szCs w:val="20"/>
        </w:rPr>
      </w:pPr>
      <w:r>
        <w:rPr>
          <w:rFonts w:ascii="Arial" w:hAnsi="Arial" w:cs="Arial"/>
          <w:b/>
          <w:bCs/>
          <w:color w:val="000000"/>
          <w:sz w:val="20"/>
          <w:szCs w:val="20"/>
        </w:rPr>
        <w:t>Reserve Bank of India (Financial Statements - Presentation and Disclosures) Directions, 2021 - Disclosure of material items</w:t>
      </w:r>
    </w:p>
    <w:p w:rsidR="00DA1141" w:rsidRDefault="00DA1141" w:rsidP="00DA1141">
      <w:pPr>
        <w:pStyle w:val="NormalWeb"/>
        <w:jc w:val="both"/>
        <w:rPr>
          <w:rFonts w:ascii="Arial" w:hAnsi="Arial" w:cs="Arial"/>
          <w:color w:val="000000"/>
          <w:sz w:val="20"/>
          <w:szCs w:val="20"/>
        </w:rPr>
      </w:pPr>
      <w:r>
        <w:rPr>
          <w:rFonts w:ascii="Arial" w:hAnsi="Arial" w:cs="Arial"/>
          <w:color w:val="000000"/>
          <w:sz w:val="20"/>
          <w:szCs w:val="20"/>
        </w:rPr>
        <w:t>Please refer to the notes and instructions for compilation of Balance Sheet and Profit and Loss Account, for commercial banks, as specified in Annexure II to the </w:t>
      </w:r>
      <w:hyperlink r:id="rId192" w:tgtFrame="_blank" w:history="1">
        <w:r>
          <w:rPr>
            <w:rStyle w:val="Hyperlink"/>
            <w:rFonts w:ascii="Arial" w:hAnsi="Arial" w:cs="Arial"/>
            <w:sz w:val="20"/>
            <w:szCs w:val="20"/>
          </w:rPr>
          <w:t>Reserve Bank of India (Financial Statements-Presentation and Disclosures) Directions, 2021</w:t>
        </w:r>
      </w:hyperlink>
      <w:r>
        <w:rPr>
          <w:rFonts w:ascii="Arial" w:hAnsi="Arial" w:cs="Arial"/>
          <w:color w:val="000000"/>
          <w:sz w:val="20"/>
          <w:szCs w:val="20"/>
        </w:rPr>
        <w:t> (hereinafter referred to as “Directions”).</w:t>
      </w:r>
    </w:p>
    <w:p w:rsidR="00DA1141" w:rsidRDefault="00DA1141" w:rsidP="00DA1141">
      <w:pPr>
        <w:pStyle w:val="NormalWeb"/>
        <w:jc w:val="both"/>
        <w:rPr>
          <w:rFonts w:ascii="Arial" w:hAnsi="Arial" w:cs="Arial"/>
          <w:color w:val="000000"/>
          <w:sz w:val="20"/>
          <w:szCs w:val="20"/>
        </w:rPr>
      </w:pPr>
      <w:r>
        <w:rPr>
          <w:rFonts w:ascii="Arial" w:hAnsi="Arial" w:cs="Arial"/>
          <w:color w:val="000000"/>
          <w:sz w:val="20"/>
          <w:szCs w:val="20"/>
        </w:rPr>
        <w:t>2. In terms of Part A of Annexure II to the Directions, in case any item under the subhead “Miscellaneous Income” under the head “Schedule 14-Other Income” exceeds one per cent of total income, particulars shall be given in the notes to accounts. Similar instructions exist in case of subhead “Other expenditure” under the head “Schedule 16-Operating Expenses”.</w:t>
      </w:r>
    </w:p>
    <w:p w:rsidR="00DA1141" w:rsidRDefault="00DA1141" w:rsidP="00DA1141">
      <w:pPr>
        <w:pStyle w:val="NormalWeb"/>
        <w:jc w:val="both"/>
        <w:rPr>
          <w:rFonts w:ascii="Arial" w:hAnsi="Arial" w:cs="Arial"/>
          <w:color w:val="000000"/>
          <w:sz w:val="20"/>
          <w:szCs w:val="20"/>
        </w:rPr>
      </w:pPr>
      <w:r>
        <w:rPr>
          <w:rFonts w:ascii="Arial" w:hAnsi="Arial" w:cs="Arial"/>
          <w:color w:val="000000"/>
          <w:sz w:val="20"/>
          <w:szCs w:val="20"/>
        </w:rPr>
        <w:t>3. In order to ensure greater transparency, it has been decided that banks shall also disclose the particulars of all such items in the notes to accounts wherever any item under the Schedule 5(IV)-Other Liabilities and Provisions</w:t>
      </w:r>
      <w:proofErr w:type="gramStart"/>
      <w:r>
        <w:rPr>
          <w:rFonts w:ascii="Arial" w:hAnsi="Arial" w:cs="Arial"/>
          <w:color w:val="000000"/>
          <w:sz w:val="20"/>
          <w:szCs w:val="20"/>
        </w:rPr>
        <w:t>-“</w:t>
      </w:r>
      <w:proofErr w:type="gramEnd"/>
      <w:r>
        <w:rPr>
          <w:rFonts w:ascii="Arial" w:hAnsi="Arial" w:cs="Arial"/>
          <w:color w:val="000000"/>
          <w:sz w:val="20"/>
          <w:szCs w:val="20"/>
        </w:rPr>
        <w:t>Others (including provisions)” or Schedule 11(VI)-Other Assets-“Others” exceeds one per cent of the total assets.</w:t>
      </w:r>
    </w:p>
    <w:p w:rsidR="00DA1141" w:rsidRDefault="00DA1141" w:rsidP="00DA1141">
      <w:pPr>
        <w:pStyle w:val="NormalWeb"/>
        <w:jc w:val="both"/>
        <w:rPr>
          <w:rFonts w:ascii="Arial" w:hAnsi="Arial" w:cs="Arial"/>
          <w:color w:val="000000"/>
          <w:sz w:val="20"/>
          <w:szCs w:val="20"/>
        </w:rPr>
      </w:pPr>
      <w:r>
        <w:rPr>
          <w:rFonts w:ascii="Arial" w:hAnsi="Arial" w:cs="Arial"/>
          <w:color w:val="000000"/>
          <w:sz w:val="20"/>
          <w:szCs w:val="20"/>
        </w:rPr>
        <w:t>4. Further, Payments Banks shall also disclose particulars of all such items in the notes to accounts, wherever any item under the Schedule 14(I)-Other Income</w:t>
      </w:r>
      <w:proofErr w:type="gramStart"/>
      <w:r>
        <w:rPr>
          <w:rFonts w:ascii="Arial" w:hAnsi="Arial" w:cs="Arial"/>
          <w:color w:val="000000"/>
          <w:sz w:val="20"/>
          <w:szCs w:val="20"/>
        </w:rPr>
        <w:t>-“</w:t>
      </w:r>
      <w:proofErr w:type="gramEnd"/>
      <w:r>
        <w:rPr>
          <w:rFonts w:ascii="Arial" w:hAnsi="Arial" w:cs="Arial"/>
          <w:color w:val="000000"/>
          <w:sz w:val="20"/>
          <w:szCs w:val="20"/>
        </w:rPr>
        <w:t>Commission, Exchange and Brokerage” exceeds one per cent of the total income.</w:t>
      </w:r>
    </w:p>
    <w:p w:rsidR="00DA1141" w:rsidRDefault="00DA1141" w:rsidP="00DA1141">
      <w:pPr>
        <w:pStyle w:val="NormalWeb"/>
        <w:jc w:val="both"/>
        <w:rPr>
          <w:rFonts w:ascii="Arial" w:hAnsi="Arial" w:cs="Arial"/>
          <w:color w:val="000000"/>
          <w:sz w:val="20"/>
          <w:szCs w:val="20"/>
        </w:rPr>
      </w:pPr>
      <w:r>
        <w:rPr>
          <w:rFonts w:ascii="Arial" w:hAnsi="Arial" w:cs="Arial"/>
          <w:color w:val="000000"/>
          <w:sz w:val="20"/>
          <w:szCs w:val="20"/>
        </w:rPr>
        <w:t>5. We also invite attention to Clause 6 of the Chapter IV of the Directions ibid, in terms of which more comprehensive disclosures than the minimum required are encouraged, especially if such disclosures significantly aid in the understanding of the financial position and performance of banks.</w:t>
      </w:r>
    </w:p>
    <w:p w:rsidR="00DA1141" w:rsidRDefault="00DA1141" w:rsidP="00DA1141">
      <w:pPr>
        <w:pStyle w:val="head"/>
        <w:jc w:val="both"/>
        <w:rPr>
          <w:rFonts w:ascii="Arial" w:hAnsi="Arial" w:cs="Arial"/>
          <w:b/>
          <w:bCs/>
          <w:color w:val="000000"/>
          <w:sz w:val="20"/>
          <w:szCs w:val="20"/>
        </w:rPr>
      </w:pPr>
      <w:r>
        <w:rPr>
          <w:rFonts w:ascii="Arial" w:hAnsi="Arial" w:cs="Arial"/>
          <w:b/>
          <w:bCs/>
          <w:color w:val="000000"/>
          <w:sz w:val="20"/>
          <w:szCs w:val="20"/>
        </w:rPr>
        <w:t>Applicability</w:t>
      </w:r>
    </w:p>
    <w:p w:rsidR="00DA1141" w:rsidRDefault="00DA1141" w:rsidP="00DA1141">
      <w:pPr>
        <w:pStyle w:val="NormalWeb"/>
        <w:jc w:val="both"/>
        <w:rPr>
          <w:rFonts w:ascii="Arial" w:hAnsi="Arial" w:cs="Arial"/>
          <w:color w:val="000000"/>
          <w:sz w:val="20"/>
          <w:szCs w:val="20"/>
        </w:rPr>
      </w:pPr>
      <w:r>
        <w:rPr>
          <w:rFonts w:ascii="Arial" w:hAnsi="Arial" w:cs="Arial"/>
          <w:color w:val="000000"/>
          <w:sz w:val="20"/>
          <w:szCs w:val="20"/>
        </w:rPr>
        <w:t>6. These instructions are applicable to all commercial banks. These instructions shall come into effect for disclosures in the notes to the annual financial statements for the year ending March 31, 2023 and onwards.</w:t>
      </w:r>
    </w:p>
    <w:p w:rsidR="00DA1141" w:rsidRDefault="00DA1141" w:rsidP="00DA1141">
      <w:pPr>
        <w:pStyle w:val="NormalWeb"/>
        <w:jc w:val="both"/>
        <w:rPr>
          <w:rFonts w:ascii="Arial" w:hAnsi="Arial" w:cs="Arial"/>
          <w:color w:val="000000"/>
          <w:sz w:val="20"/>
          <w:szCs w:val="20"/>
        </w:rPr>
      </w:pPr>
      <w:r>
        <w:rPr>
          <w:rFonts w:ascii="Arial" w:hAnsi="Arial" w:cs="Arial"/>
          <w:color w:val="000000"/>
          <w:sz w:val="20"/>
          <w:szCs w:val="20"/>
        </w:rPr>
        <w:t>7. The </w:t>
      </w:r>
      <w:hyperlink r:id="rId193" w:tgtFrame="_blank" w:history="1">
        <w:r>
          <w:rPr>
            <w:rStyle w:val="Hyperlink"/>
            <w:rFonts w:ascii="Arial" w:hAnsi="Arial" w:cs="Arial"/>
            <w:sz w:val="20"/>
            <w:szCs w:val="20"/>
          </w:rPr>
          <w:t>Reserve Bank of India (Financial Statements - Presentation and Disclosures) Directions, 2021</w:t>
        </w:r>
      </w:hyperlink>
      <w:r>
        <w:rPr>
          <w:rFonts w:ascii="Arial" w:hAnsi="Arial" w:cs="Arial"/>
          <w:color w:val="000000"/>
          <w:sz w:val="20"/>
          <w:szCs w:val="20"/>
        </w:rPr>
        <w:t> shall stand updated to reflect these changes.</w:t>
      </w:r>
    </w:p>
    <w:p w:rsidR="00DA1141" w:rsidRDefault="00DA1141" w:rsidP="00DA1141">
      <w:pPr>
        <w:pStyle w:val="NormalWeb"/>
        <w:jc w:val="both"/>
        <w:rPr>
          <w:rFonts w:ascii="Arial" w:hAnsi="Arial" w:cs="Arial"/>
          <w:color w:val="000000"/>
          <w:sz w:val="20"/>
          <w:szCs w:val="20"/>
        </w:rPr>
      </w:pPr>
      <w:r>
        <w:rPr>
          <w:rFonts w:ascii="Arial" w:hAnsi="Arial" w:cs="Arial"/>
          <w:color w:val="000000"/>
          <w:sz w:val="20"/>
          <w:szCs w:val="20"/>
        </w:rPr>
        <w:t>Yours faithfully,</w:t>
      </w:r>
    </w:p>
    <w:p w:rsidR="00DA1141" w:rsidRDefault="00DA1141" w:rsidP="00DA1141">
      <w:pPr>
        <w:pStyle w:val="NormalWeb"/>
        <w:rPr>
          <w:rFonts w:ascii="Arial" w:hAnsi="Arial" w:cs="Arial"/>
          <w:color w:val="000000"/>
          <w:sz w:val="20"/>
          <w:szCs w:val="20"/>
        </w:rPr>
      </w:pPr>
      <w:r>
        <w:rPr>
          <w:rFonts w:ascii="Arial" w:hAnsi="Arial" w:cs="Arial"/>
          <w:color w:val="000000"/>
          <w:sz w:val="20"/>
          <w:szCs w:val="20"/>
        </w:rPr>
        <w:t>(</w:t>
      </w:r>
      <w:proofErr w:type="spellStart"/>
      <w:r>
        <w:rPr>
          <w:rFonts w:ascii="Arial" w:hAnsi="Arial" w:cs="Arial"/>
          <w:color w:val="000000"/>
          <w:sz w:val="20"/>
          <w:szCs w:val="20"/>
        </w:rPr>
        <w:t>Usha</w:t>
      </w:r>
      <w:proofErr w:type="spellEnd"/>
      <w:r>
        <w:rPr>
          <w:rFonts w:ascii="Arial" w:hAnsi="Arial" w:cs="Arial"/>
          <w:color w:val="000000"/>
          <w:sz w:val="20"/>
          <w:szCs w:val="20"/>
        </w:rPr>
        <w:t xml:space="preserve"> </w:t>
      </w:r>
      <w:proofErr w:type="spellStart"/>
      <w:r>
        <w:rPr>
          <w:rFonts w:ascii="Arial" w:hAnsi="Arial" w:cs="Arial"/>
          <w:color w:val="000000"/>
          <w:sz w:val="20"/>
          <w:szCs w:val="20"/>
        </w:rPr>
        <w:t>Janakiraman</w:t>
      </w:r>
      <w:proofErr w:type="spellEnd"/>
      <w:r>
        <w:rPr>
          <w:rFonts w:ascii="Arial" w:hAnsi="Arial" w:cs="Arial"/>
          <w:color w:val="000000"/>
          <w:sz w:val="20"/>
          <w:szCs w:val="20"/>
        </w:rPr>
        <w:t>)</w:t>
      </w:r>
      <w:r>
        <w:rPr>
          <w:rFonts w:ascii="Arial" w:hAnsi="Arial" w:cs="Arial"/>
          <w:color w:val="000000"/>
          <w:sz w:val="20"/>
          <w:szCs w:val="20"/>
        </w:rPr>
        <w:br/>
        <w:t>Chief General Manager</w:t>
      </w:r>
    </w:p>
    <w:p w:rsidR="00DA1141" w:rsidRPr="00230EAC" w:rsidRDefault="00DA1141" w:rsidP="00DA1141">
      <w:pPr>
        <w:spacing w:after="0"/>
      </w:pPr>
    </w:p>
    <w:p w:rsidR="00DA1141" w:rsidRDefault="00DA1141" w:rsidP="00DA1141">
      <w:r>
        <w:lastRenderedPageBreak/>
        <w:t>More details can be referred to in the below link.</w:t>
      </w:r>
    </w:p>
    <w:p w:rsidR="00DA1141" w:rsidRDefault="00DA1141" w:rsidP="00DA1141">
      <w:pPr>
        <w:rPr>
          <w:rFonts w:ascii="Arial" w:hAnsi="Arial" w:cs="Arial"/>
          <w:bCs/>
          <w:color w:val="000000"/>
          <w:sz w:val="20"/>
          <w:szCs w:val="20"/>
        </w:rPr>
      </w:pPr>
      <w:r>
        <w:rPr>
          <w:rFonts w:ascii="Arial" w:hAnsi="Arial" w:cs="Arial"/>
          <w:bCs/>
          <w:color w:val="000000"/>
          <w:sz w:val="20"/>
          <w:szCs w:val="20"/>
        </w:rPr>
        <w:t xml:space="preserve">Reference Link: </w:t>
      </w:r>
      <w:hyperlink r:id="rId194" w:history="1">
        <w:r w:rsidRPr="00B27270">
          <w:rPr>
            <w:rStyle w:val="Hyperlink"/>
            <w:rFonts w:ascii="Arial" w:hAnsi="Arial" w:cs="Arial"/>
            <w:bCs/>
            <w:sz w:val="20"/>
            <w:szCs w:val="20"/>
          </w:rPr>
          <w:t>https://rbi.org.in/Scripts/NotificationUser.aspx?Id=12426&amp;Mode=0</w:t>
        </w:r>
      </w:hyperlink>
    </w:p>
    <w:p w:rsidR="00DA1141" w:rsidRDefault="00DA1141" w:rsidP="00DA1141">
      <w:pPr>
        <w:spacing w:after="0"/>
        <w:rPr>
          <w:rFonts w:ascii="Arial" w:hAnsi="Arial" w:cs="Arial"/>
          <w:sz w:val="20"/>
          <w:szCs w:val="20"/>
        </w:rPr>
      </w:pPr>
    </w:p>
    <w:p w:rsidR="00DA1141" w:rsidRDefault="00DA1141" w:rsidP="00DA1141">
      <w:pPr>
        <w:spacing w:after="0"/>
        <w:rPr>
          <w:rFonts w:ascii="Arial" w:hAnsi="Arial" w:cs="Arial"/>
          <w:sz w:val="20"/>
          <w:szCs w:val="20"/>
        </w:rPr>
      </w:pPr>
    </w:p>
    <w:p w:rsidR="00DA1141" w:rsidRDefault="00DA1141" w:rsidP="00DA1141">
      <w:pPr>
        <w:spacing w:after="0"/>
        <w:rPr>
          <w:rFonts w:ascii="Arial" w:hAnsi="Arial" w:cs="Arial"/>
          <w:sz w:val="20"/>
          <w:szCs w:val="20"/>
        </w:rPr>
      </w:pPr>
    </w:p>
    <w:p w:rsidR="00DA1141" w:rsidRDefault="00DA1141" w:rsidP="00DA1141">
      <w:pPr>
        <w:rPr>
          <w:rFonts w:ascii="Arial" w:hAnsi="Arial" w:cs="Arial"/>
          <w:b/>
          <w:bCs/>
          <w:color w:val="000000"/>
          <w:sz w:val="20"/>
          <w:szCs w:val="20"/>
        </w:rPr>
      </w:pPr>
      <w:r>
        <w:rPr>
          <w:rFonts w:ascii="Arial" w:hAnsi="Arial" w:cs="Arial"/>
          <w:b/>
          <w:bCs/>
          <w:color w:val="000000"/>
          <w:sz w:val="20"/>
          <w:szCs w:val="20"/>
        </w:rPr>
        <w:t>Central Payments Fraud Information Registry – Migration of Reporting to DAKSH</w:t>
      </w:r>
    </w:p>
    <w:p w:rsidR="00DA1141" w:rsidRDefault="00DA1141" w:rsidP="00DA1141">
      <w:pPr>
        <w:pStyle w:val="NormalWeb"/>
        <w:jc w:val="both"/>
        <w:rPr>
          <w:rFonts w:ascii="Arial" w:hAnsi="Arial" w:cs="Arial"/>
          <w:color w:val="000000"/>
          <w:sz w:val="20"/>
          <w:szCs w:val="20"/>
        </w:rPr>
      </w:pPr>
      <w:r>
        <w:rPr>
          <w:rFonts w:ascii="Arial" w:hAnsi="Arial" w:cs="Arial"/>
          <w:color w:val="000000"/>
          <w:sz w:val="20"/>
          <w:szCs w:val="20"/>
        </w:rPr>
        <w:t>RBI/2022-23/158</w:t>
      </w:r>
      <w:r>
        <w:rPr>
          <w:rFonts w:ascii="Arial" w:hAnsi="Arial" w:cs="Arial"/>
          <w:color w:val="000000"/>
          <w:sz w:val="20"/>
          <w:szCs w:val="20"/>
        </w:rPr>
        <w:br/>
        <w:t>CO.DPSS.OVRST.No.S1619/06-08-005/2022-2023</w:t>
      </w:r>
    </w:p>
    <w:p w:rsidR="00DA1141" w:rsidRDefault="00DA1141" w:rsidP="00DA1141">
      <w:pPr>
        <w:pStyle w:val="NormalWeb"/>
        <w:jc w:val="right"/>
        <w:rPr>
          <w:rFonts w:ascii="Arial" w:hAnsi="Arial" w:cs="Arial"/>
          <w:color w:val="000000"/>
          <w:sz w:val="20"/>
          <w:szCs w:val="20"/>
        </w:rPr>
      </w:pPr>
      <w:r>
        <w:rPr>
          <w:rFonts w:ascii="Arial" w:hAnsi="Arial" w:cs="Arial"/>
          <w:color w:val="000000"/>
          <w:sz w:val="20"/>
          <w:szCs w:val="20"/>
        </w:rPr>
        <w:t>December 26, 2022</w:t>
      </w:r>
    </w:p>
    <w:p w:rsidR="00DA1141" w:rsidRDefault="00DA1141" w:rsidP="00DA1141">
      <w:pPr>
        <w:pStyle w:val="NormalWeb"/>
        <w:rPr>
          <w:rFonts w:ascii="Arial" w:hAnsi="Arial" w:cs="Arial"/>
          <w:color w:val="000000"/>
          <w:sz w:val="20"/>
          <w:szCs w:val="20"/>
        </w:rPr>
      </w:pPr>
      <w:r>
        <w:rPr>
          <w:rFonts w:ascii="Arial" w:hAnsi="Arial" w:cs="Arial"/>
          <w:color w:val="000000"/>
          <w:sz w:val="20"/>
          <w:szCs w:val="20"/>
        </w:rPr>
        <w:t>The Chairman / Managing Director / Chief Executive Officer</w:t>
      </w:r>
      <w:r>
        <w:rPr>
          <w:rFonts w:ascii="Arial" w:hAnsi="Arial" w:cs="Arial"/>
          <w:color w:val="000000"/>
          <w:sz w:val="20"/>
          <w:szCs w:val="20"/>
        </w:rPr>
        <w:br/>
        <w:t>Banks, Non-bank Payment System Operators (PSOs) and</w:t>
      </w:r>
      <w:r>
        <w:rPr>
          <w:rFonts w:ascii="Arial" w:hAnsi="Arial" w:cs="Arial"/>
          <w:color w:val="000000"/>
          <w:sz w:val="20"/>
          <w:szCs w:val="20"/>
        </w:rPr>
        <w:br/>
        <w:t>Credit Card issuing Non-Banking Financial Companies (NBFCs)</w:t>
      </w:r>
    </w:p>
    <w:p w:rsidR="00DA1141" w:rsidRDefault="00DA1141" w:rsidP="00DA1141">
      <w:pPr>
        <w:pStyle w:val="NormalWeb"/>
        <w:jc w:val="both"/>
        <w:rPr>
          <w:rFonts w:ascii="Arial" w:hAnsi="Arial" w:cs="Arial"/>
          <w:color w:val="000000"/>
          <w:sz w:val="20"/>
          <w:szCs w:val="20"/>
        </w:rPr>
      </w:pPr>
      <w:r>
        <w:rPr>
          <w:rFonts w:ascii="Arial" w:hAnsi="Arial" w:cs="Arial"/>
          <w:color w:val="000000"/>
          <w:sz w:val="20"/>
          <w:szCs w:val="20"/>
        </w:rPr>
        <w:t>Madam / Dear Sir,</w:t>
      </w:r>
    </w:p>
    <w:p w:rsidR="00DA1141" w:rsidRDefault="00DA1141" w:rsidP="00DA1141">
      <w:pPr>
        <w:pStyle w:val="head"/>
        <w:jc w:val="both"/>
        <w:rPr>
          <w:rFonts w:ascii="Arial" w:hAnsi="Arial" w:cs="Arial"/>
          <w:b/>
          <w:bCs/>
          <w:color w:val="000000"/>
          <w:sz w:val="20"/>
          <w:szCs w:val="20"/>
        </w:rPr>
      </w:pPr>
      <w:r>
        <w:rPr>
          <w:rFonts w:ascii="Arial" w:hAnsi="Arial" w:cs="Arial"/>
          <w:b/>
          <w:bCs/>
          <w:color w:val="000000"/>
          <w:sz w:val="20"/>
          <w:szCs w:val="20"/>
        </w:rPr>
        <w:t>Central Payments Fraud Information Registry – Migration of Reporting to DAKSH</w:t>
      </w:r>
    </w:p>
    <w:p w:rsidR="00DA1141" w:rsidRDefault="00DA1141" w:rsidP="00DA1141">
      <w:pPr>
        <w:pStyle w:val="NormalWeb"/>
        <w:jc w:val="both"/>
        <w:rPr>
          <w:rFonts w:ascii="Arial" w:hAnsi="Arial" w:cs="Arial"/>
          <w:color w:val="000000"/>
          <w:sz w:val="20"/>
          <w:szCs w:val="20"/>
        </w:rPr>
      </w:pPr>
      <w:r>
        <w:rPr>
          <w:rFonts w:ascii="Arial" w:hAnsi="Arial" w:cs="Arial"/>
          <w:color w:val="000000"/>
          <w:sz w:val="20"/>
          <w:szCs w:val="20"/>
        </w:rPr>
        <w:t>As announced in the </w:t>
      </w:r>
      <w:hyperlink r:id="rId195" w:tgtFrame="_blank" w:history="1">
        <w:r>
          <w:rPr>
            <w:rStyle w:val="Hyperlink"/>
            <w:rFonts w:ascii="Arial" w:hAnsi="Arial" w:cs="Arial"/>
            <w:sz w:val="20"/>
            <w:szCs w:val="20"/>
          </w:rPr>
          <w:t>Monetary Policy Statement 2019-20 on August 07, 2019</w:t>
        </w:r>
      </w:hyperlink>
      <w:r>
        <w:rPr>
          <w:rFonts w:ascii="Arial" w:hAnsi="Arial" w:cs="Arial"/>
          <w:color w:val="000000"/>
          <w:sz w:val="20"/>
          <w:szCs w:val="20"/>
        </w:rPr>
        <w:t>, the Reserve Bank of India (RBI) had operationalised the Central Payments Fraud Information Registry (CPFIR) in March 2020 with reporting of payment frauds by scheduled commercial banks and non-bank Prepaid Payment Instrument (PPI) issuers.</w:t>
      </w:r>
    </w:p>
    <w:p w:rsidR="00DA1141" w:rsidRDefault="00DA1141" w:rsidP="00DA1141">
      <w:pPr>
        <w:pStyle w:val="NormalWeb"/>
        <w:jc w:val="both"/>
        <w:rPr>
          <w:rFonts w:ascii="Arial" w:hAnsi="Arial" w:cs="Arial"/>
          <w:color w:val="000000"/>
          <w:sz w:val="20"/>
          <w:szCs w:val="20"/>
        </w:rPr>
      </w:pPr>
      <w:r>
        <w:rPr>
          <w:rFonts w:ascii="Arial" w:hAnsi="Arial" w:cs="Arial"/>
          <w:color w:val="000000"/>
          <w:sz w:val="20"/>
          <w:szCs w:val="20"/>
        </w:rPr>
        <w:t>2. To streamline reporting, enhance efficiency and automate the payments fraud management process, the fraud reporting module is being migrated to </w:t>
      </w:r>
      <w:hyperlink r:id="rId196" w:anchor="/login" w:tgtFrame="_blank" w:history="1">
        <w:r>
          <w:rPr>
            <w:rStyle w:val="Hyperlink"/>
            <w:rFonts w:ascii="Arial" w:hAnsi="Arial" w:cs="Arial"/>
            <w:sz w:val="20"/>
            <w:szCs w:val="20"/>
          </w:rPr>
          <w:t>DAKSH – Reserve Bank’s Advanced Supervisory Monitoring System</w:t>
        </w:r>
      </w:hyperlink>
      <w:r>
        <w:rPr>
          <w:rFonts w:ascii="Arial" w:hAnsi="Arial" w:cs="Arial"/>
          <w:color w:val="000000"/>
          <w:sz w:val="20"/>
          <w:szCs w:val="20"/>
        </w:rPr>
        <w:t>. The migration will be effective from </w:t>
      </w:r>
      <w:r>
        <w:rPr>
          <w:rStyle w:val="head1"/>
          <w:rFonts w:ascii="Arial" w:hAnsi="Arial" w:cs="Arial"/>
          <w:b/>
          <w:bCs/>
          <w:color w:val="000000"/>
          <w:sz w:val="20"/>
          <w:szCs w:val="20"/>
        </w:rPr>
        <w:t>January 01, 2023</w:t>
      </w:r>
      <w:r>
        <w:rPr>
          <w:rFonts w:ascii="Arial" w:hAnsi="Arial" w:cs="Arial"/>
          <w:color w:val="000000"/>
          <w:sz w:val="20"/>
          <w:szCs w:val="20"/>
        </w:rPr>
        <w:t>, i.e., entities shall commence reporting of payment frauds in DAKSH from this date. In addition to the existing bulk upload facility to report payment frauds, DAKSH provides additional functionalities, viz. maker-checker facility, online screen-based reporting, option for requesting additional information, facility to issue alerts / advisories, generation of dashboards and reports, etc. The reporting guidelines are mentioned in the </w:t>
      </w:r>
      <w:hyperlink r:id="rId197" w:anchor="AN1" w:history="1">
        <w:r>
          <w:rPr>
            <w:rStyle w:val="Hyperlink"/>
            <w:rFonts w:ascii="Arial" w:hAnsi="Arial" w:cs="Arial"/>
            <w:sz w:val="20"/>
            <w:szCs w:val="20"/>
          </w:rPr>
          <w:t>Annex</w:t>
        </w:r>
      </w:hyperlink>
      <w:r>
        <w:rPr>
          <w:rFonts w:ascii="Arial" w:hAnsi="Arial" w:cs="Arial"/>
          <w:color w:val="000000"/>
          <w:sz w:val="20"/>
          <w:szCs w:val="20"/>
        </w:rPr>
        <w:t>.</w:t>
      </w:r>
    </w:p>
    <w:p w:rsidR="00DA1141" w:rsidRDefault="00DA1141" w:rsidP="00DA1141">
      <w:pPr>
        <w:pStyle w:val="NormalWeb"/>
        <w:jc w:val="both"/>
        <w:rPr>
          <w:rFonts w:ascii="Arial" w:hAnsi="Arial" w:cs="Arial"/>
          <w:color w:val="000000"/>
          <w:sz w:val="20"/>
          <w:szCs w:val="20"/>
        </w:rPr>
      </w:pPr>
      <w:r>
        <w:rPr>
          <w:rFonts w:ascii="Arial" w:hAnsi="Arial" w:cs="Arial"/>
          <w:color w:val="000000"/>
          <w:sz w:val="20"/>
          <w:szCs w:val="20"/>
        </w:rPr>
        <w:t>3. These directions are issued under Section 10 (2) read with Section 18 of Payment and settlement Systems Act, 2007 (Act 51 of 2007).</w:t>
      </w:r>
    </w:p>
    <w:p w:rsidR="00DA1141" w:rsidRDefault="00DA1141" w:rsidP="00DA1141">
      <w:pPr>
        <w:pStyle w:val="NormalWeb"/>
        <w:jc w:val="both"/>
        <w:rPr>
          <w:rFonts w:ascii="Arial" w:hAnsi="Arial" w:cs="Arial"/>
          <w:color w:val="000000"/>
          <w:sz w:val="20"/>
          <w:szCs w:val="20"/>
        </w:rPr>
      </w:pPr>
      <w:r>
        <w:rPr>
          <w:rFonts w:ascii="Arial" w:hAnsi="Arial" w:cs="Arial"/>
          <w:color w:val="000000"/>
          <w:sz w:val="20"/>
          <w:szCs w:val="20"/>
        </w:rPr>
        <w:t>Yours faithfully,</w:t>
      </w:r>
    </w:p>
    <w:p w:rsidR="00DA1141" w:rsidRDefault="00DA1141" w:rsidP="00DA1141">
      <w:pPr>
        <w:pStyle w:val="NormalWeb"/>
        <w:rPr>
          <w:rFonts w:ascii="Arial" w:hAnsi="Arial" w:cs="Arial"/>
          <w:color w:val="000000"/>
          <w:sz w:val="20"/>
          <w:szCs w:val="20"/>
        </w:rPr>
      </w:pPr>
      <w:r>
        <w:rPr>
          <w:rFonts w:ascii="Arial" w:hAnsi="Arial" w:cs="Arial"/>
          <w:color w:val="000000"/>
          <w:sz w:val="20"/>
          <w:szCs w:val="20"/>
        </w:rPr>
        <w:t xml:space="preserve">(P. </w:t>
      </w:r>
      <w:proofErr w:type="spellStart"/>
      <w:r>
        <w:rPr>
          <w:rFonts w:ascii="Arial" w:hAnsi="Arial" w:cs="Arial"/>
          <w:color w:val="000000"/>
          <w:sz w:val="20"/>
          <w:szCs w:val="20"/>
        </w:rPr>
        <w:t>Vasudevan</w:t>
      </w:r>
      <w:proofErr w:type="spellEnd"/>
      <w:r>
        <w:rPr>
          <w:rFonts w:ascii="Arial" w:hAnsi="Arial" w:cs="Arial"/>
          <w:color w:val="000000"/>
          <w:sz w:val="20"/>
          <w:szCs w:val="20"/>
        </w:rPr>
        <w:t>)</w:t>
      </w:r>
      <w:r>
        <w:rPr>
          <w:rFonts w:ascii="Arial" w:hAnsi="Arial" w:cs="Arial"/>
          <w:color w:val="000000"/>
          <w:sz w:val="20"/>
          <w:szCs w:val="20"/>
        </w:rPr>
        <w:br/>
        <w:t>Chief General Manager</w:t>
      </w:r>
    </w:p>
    <w:p w:rsidR="00DA1141" w:rsidRDefault="00DA1141" w:rsidP="00DA1141">
      <w:pPr>
        <w:rPr>
          <w:rFonts w:ascii="Arial" w:hAnsi="Arial" w:cs="Arial"/>
          <w:sz w:val="20"/>
          <w:szCs w:val="20"/>
        </w:rPr>
      </w:pPr>
    </w:p>
    <w:p w:rsidR="00DA1141" w:rsidRDefault="00DA1141" w:rsidP="00DA1141">
      <w:pPr>
        <w:rPr>
          <w:rFonts w:ascii="Arial" w:hAnsi="Arial" w:cs="Arial"/>
          <w:sz w:val="20"/>
          <w:szCs w:val="20"/>
        </w:rPr>
      </w:pPr>
    </w:p>
    <w:p w:rsidR="00DA1141" w:rsidRDefault="00DA1141" w:rsidP="00DA1141">
      <w:r>
        <w:t>More details can be referred to in the below link.</w:t>
      </w:r>
    </w:p>
    <w:p w:rsidR="00DA1141" w:rsidRDefault="00DA1141" w:rsidP="00DA1141">
      <w:pPr>
        <w:rPr>
          <w:rFonts w:ascii="Arial" w:hAnsi="Arial" w:cs="Arial"/>
          <w:bCs/>
          <w:color w:val="000000"/>
          <w:sz w:val="20"/>
          <w:szCs w:val="20"/>
        </w:rPr>
      </w:pPr>
      <w:r>
        <w:rPr>
          <w:rFonts w:ascii="Arial" w:hAnsi="Arial" w:cs="Arial"/>
          <w:bCs/>
          <w:color w:val="000000"/>
          <w:sz w:val="20"/>
          <w:szCs w:val="20"/>
        </w:rPr>
        <w:t xml:space="preserve">Reference Link: </w:t>
      </w:r>
      <w:hyperlink r:id="rId198" w:history="1">
        <w:r w:rsidRPr="00B27270">
          <w:rPr>
            <w:rStyle w:val="Hyperlink"/>
            <w:rFonts w:ascii="Arial" w:hAnsi="Arial" w:cs="Arial"/>
            <w:bCs/>
            <w:sz w:val="20"/>
            <w:szCs w:val="20"/>
          </w:rPr>
          <w:t>https://m.rbi.org.in/scripts/FS_Notification.aspx?Id=12431&amp;fn=9&amp;Mode=0</w:t>
        </w:r>
      </w:hyperlink>
    </w:p>
    <w:p w:rsidR="00DA1141" w:rsidRDefault="00DA1141" w:rsidP="00DA1141">
      <w:pPr>
        <w:rPr>
          <w:rFonts w:ascii="Arial" w:hAnsi="Arial" w:cs="Arial"/>
          <w:sz w:val="20"/>
          <w:szCs w:val="20"/>
        </w:rPr>
      </w:pPr>
    </w:p>
    <w:p w:rsidR="00DA1141" w:rsidRDefault="00DA1141" w:rsidP="00DA1141">
      <w:pPr>
        <w:spacing w:after="0"/>
        <w:rPr>
          <w:rFonts w:ascii="Arial" w:hAnsi="Arial" w:cs="Arial"/>
          <w:sz w:val="20"/>
          <w:szCs w:val="20"/>
        </w:rPr>
      </w:pPr>
    </w:p>
    <w:p w:rsidR="00DA1141" w:rsidRDefault="00DA1141" w:rsidP="00DA1141">
      <w:pPr>
        <w:spacing w:after="0"/>
        <w:rPr>
          <w:rFonts w:ascii="Arial" w:hAnsi="Arial" w:cs="Arial"/>
          <w:sz w:val="20"/>
          <w:szCs w:val="20"/>
        </w:rPr>
      </w:pPr>
    </w:p>
    <w:p w:rsidR="00DA1141" w:rsidRDefault="00DA1141" w:rsidP="00DA1141">
      <w:pPr>
        <w:spacing w:after="0"/>
        <w:rPr>
          <w:rFonts w:ascii="Arial" w:hAnsi="Arial" w:cs="Arial"/>
          <w:sz w:val="20"/>
          <w:szCs w:val="20"/>
        </w:rPr>
      </w:pPr>
    </w:p>
    <w:p w:rsidR="00DA1141" w:rsidRDefault="00DA1141" w:rsidP="00DA1141">
      <w:pPr>
        <w:spacing w:after="0"/>
        <w:rPr>
          <w:rFonts w:ascii="Arial" w:hAnsi="Arial" w:cs="Arial"/>
          <w:sz w:val="20"/>
          <w:szCs w:val="20"/>
        </w:rPr>
      </w:pPr>
    </w:p>
    <w:p w:rsidR="00DA1141" w:rsidRDefault="00DA1141" w:rsidP="00DA1141">
      <w:pPr>
        <w:spacing w:after="0"/>
        <w:rPr>
          <w:rFonts w:ascii="Arial" w:hAnsi="Arial" w:cs="Arial"/>
          <w:sz w:val="20"/>
          <w:szCs w:val="20"/>
        </w:rPr>
      </w:pPr>
    </w:p>
    <w:p w:rsidR="00DA1141" w:rsidRDefault="00DA1141" w:rsidP="00DA1141">
      <w:pPr>
        <w:spacing w:after="0"/>
        <w:rPr>
          <w:rFonts w:ascii="Arial" w:hAnsi="Arial" w:cs="Arial"/>
          <w:sz w:val="20"/>
          <w:szCs w:val="20"/>
        </w:rPr>
      </w:pPr>
    </w:p>
    <w:p w:rsidR="00DA1141" w:rsidRDefault="00DA1141" w:rsidP="00DA1141">
      <w:pPr>
        <w:spacing w:after="0"/>
        <w:rPr>
          <w:rFonts w:ascii="Arial" w:hAnsi="Arial" w:cs="Arial"/>
          <w:sz w:val="20"/>
          <w:szCs w:val="20"/>
        </w:rPr>
      </w:pPr>
    </w:p>
    <w:p w:rsidR="00DA1141" w:rsidRDefault="00DA1141" w:rsidP="00DA1141">
      <w:pPr>
        <w:spacing w:after="0"/>
        <w:rPr>
          <w:rFonts w:ascii="Arial" w:hAnsi="Arial" w:cs="Arial"/>
          <w:sz w:val="20"/>
          <w:szCs w:val="20"/>
        </w:rPr>
      </w:pPr>
    </w:p>
    <w:p w:rsidR="00DA1141" w:rsidRDefault="00DA1141" w:rsidP="00DA1141">
      <w:pPr>
        <w:spacing w:after="0"/>
        <w:rPr>
          <w:rFonts w:ascii="Arial" w:hAnsi="Arial" w:cs="Arial"/>
          <w:sz w:val="20"/>
          <w:szCs w:val="20"/>
        </w:rPr>
      </w:pPr>
    </w:p>
    <w:p w:rsidR="00DA1141" w:rsidRDefault="00DA1141" w:rsidP="00DA1141">
      <w:pPr>
        <w:spacing w:after="0"/>
        <w:rPr>
          <w:rFonts w:ascii="Arial" w:hAnsi="Arial" w:cs="Arial"/>
          <w:sz w:val="20"/>
          <w:szCs w:val="20"/>
        </w:rPr>
      </w:pPr>
    </w:p>
    <w:p w:rsidR="00DA1141" w:rsidRDefault="00DA1141" w:rsidP="00C96881">
      <w:pPr>
        <w:rPr>
          <w:rFonts w:ascii="Arial" w:hAnsi="Arial" w:cs="Arial"/>
          <w:sz w:val="20"/>
          <w:szCs w:val="20"/>
        </w:rPr>
      </w:pPr>
    </w:p>
    <w:p w:rsidR="00DA1141" w:rsidRDefault="00DA1141" w:rsidP="00DA1141">
      <w:pPr>
        <w:rPr>
          <w:rFonts w:ascii="Arial" w:hAnsi="Arial" w:cs="Arial"/>
          <w:b/>
          <w:bCs/>
          <w:color w:val="000000"/>
          <w:sz w:val="20"/>
          <w:szCs w:val="20"/>
        </w:rPr>
      </w:pPr>
      <w:r>
        <w:rPr>
          <w:rFonts w:ascii="Arial" w:hAnsi="Arial" w:cs="Arial"/>
          <w:b/>
          <w:bCs/>
          <w:color w:val="000000"/>
          <w:sz w:val="20"/>
          <w:szCs w:val="20"/>
        </w:rPr>
        <w:t>Individual Housing loans – Revised limits under four-tiered regulatory framework</w:t>
      </w:r>
    </w:p>
    <w:p w:rsidR="00DA1141" w:rsidRDefault="00DA1141" w:rsidP="00DA1141">
      <w:pPr>
        <w:pStyle w:val="NormalWeb"/>
        <w:jc w:val="both"/>
        <w:rPr>
          <w:rFonts w:ascii="Arial" w:hAnsi="Arial" w:cs="Arial"/>
          <w:color w:val="000000"/>
          <w:sz w:val="20"/>
          <w:szCs w:val="20"/>
        </w:rPr>
      </w:pPr>
      <w:r>
        <w:rPr>
          <w:rFonts w:ascii="Arial" w:hAnsi="Arial" w:cs="Arial"/>
          <w:color w:val="000000"/>
          <w:sz w:val="20"/>
          <w:szCs w:val="20"/>
        </w:rPr>
        <w:t>RBI/2022-23/159</w:t>
      </w:r>
      <w:r>
        <w:rPr>
          <w:rFonts w:ascii="Arial" w:hAnsi="Arial" w:cs="Arial"/>
          <w:color w:val="000000"/>
          <w:sz w:val="20"/>
          <w:szCs w:val="20"/>
        </w:rPr>
        <w:br/>
        <w:t>DOR.CRE.REC.92/07.10.002/2022-23</w:t>
      </w:r>
    </w:p>
    <w:p w:rsidR="00DA1141" w:rsidRDefault="00DA1141" w:rsidP="00DA1141">
      <w:pPr>
        <w:pStyle w:val="NormalWeb"/>
        <w:jc w:val="right"/>
        <w:rPr>
          <w:rFonts w:ascii="Arial" w:hAnsi="Arial" w:cs="Arial"/>
          <w:color w:val="000000"/>
          <w:sz w:val="20"/>
          <w:szCs w:val="20"/>
        </w:rPr>
      </w:pPr>
      <w:r>
        <w:rPr>
          <w:rFonts w:ascii="Arial" w:hAnsi="Arial" w:cs="Arial"/>
          <w:color w:val="000000"/>
          <w:sz w:val="20"/>
          <w:szCs w:val="20"/>
        </w:rPr>
        <w:t>December 30, 2022</w:t>
      </w:r>
    </w:p>
    <w:p w:rsidR="00DA1141" w:rsidRDefault="00DA1141" w:rsidP="00DA1141">
      <w:pPr>
        <w:pStyle w:val="NormalWeb"/>
        <w:jc w:val="both"/>
        <w:rPr>
          <w:rFonts w:ascii="Arial" w:hAnsi="Arial" w:cs="Arial"/>
          <w:color w:val="000000"/>
          <w:sz w:val="20"/>
          <w:szCs w:val="20"/>
        </w:rPr>
      </w:pPr>
      <w:r>
        <w:rPr>
          <w:rFonts w:ascii="Arial" w:hAnsi="Arial" w:cs="Arial"/>
          <w:color w:val="000000"/>
          <w:sz w:val="20"/>
          <w:szCs w:val="20"/>
        </w:rPr>
        <w:t>All Primary (Urban) Co-operative Banks,</w:t>
      </w:r>
    </w:p>
    <w:p w:rsidR="00DA1141" w:rsidRDefault="00DA1141" w:rsidP="00DA1141">
      <w:pPr>
        <w:pStyle w:val="NormalWeb"/>
        <w:jc w:val="both"/>
        <w:rPr>
          <w:rFonts w:ascii="Arial" w:hAnsi="Arial" w:cs="Arial"/>
          <w:color w:val="000000"/>
          <w:sz w:val="20"/>
          <w:szCs w:val="20"/>
        </w:rPr>
      </w:pPr>
      <w:r>
        <w:rPr>
          <w:rFonts w:ascii="Arial" w:hAnsi="Arial" w:cs="Arial"/>
          <w:color w:val="000000"/>
          <w:sz w:val="20"/>
          <w:szCs w:val="20"/>
        </w:rPr>
        <w:t>Madam / Dear Sir,</w:t>
      </w:r>
    </w:p>
    <w:p w:rsidR="00DA1141" w:rsidRDefault="00DA1141" w:rsidP="00DA1141">
      <w:pPr>
        <w:pStyle w:val="head"/>
        <w:jc w:val="both"/>
        <w:rPr>
          <w:rFonts w:ascii="Arial" w:hAnsi="Arial" w:cs="Arial"/>
          <w:b/>
          <w:bCs/>
          <w:color w:val="000000"/>
          <w:sz w:val="20"/>
          <w:szCs w:val="20"/>
        </w:rPr>
      </w:pPr>
      <w:r>
        <w:rPr>
          <w:rFonts w:ascii="Arial" w:hAnsi="Arial" w:cs="Arial"/>
          <w:b/>
          <w:bCs/>
          <w:color w:val="000000"/>
          <w:sz w:val="20"/>
          <w:szCs w:val="20"/>
        </w:rPr>
        <w:t>Individual Housing loans – Revised limits under four-tiered regulatory framework</w:t>
      </w:r>
    </w:p>
    <w:p w:rsidR="00DA1141" w:rsidRDefault="00DA1141" w:rsidP="00DA1141">
      <w:pPr>
        <w:pStyle w:val="NormalWeb"/>
        <w:jc w:val="both"/>
        <w:rPr>
          <w:rFonts w:ascii="Arial" w:hAnsi="Arial" w:cs="Arial"/>
          <w:color w:val="000000"/>
          <w:sz w:val="20"/>
          <w:szCs w:val="20"/>
        </w:rPr>
      </w:pPr>
      <w:r>
        <w:rPr>
          <w:rFonts w:ascii="Arial" w:hAnsi="Arial" w:cs="Arial"/>
          <w:color w:val="000000"/>
          <w:sz w:val="20"/>
          <w:szCs w:val="20"/>
        </w:rPr>
        <w:t>Please refer to </w:t>
      </w:r>
      <w:hyperlink r:id="rId199" w:tgtFrame="_blank" w:history="1">
        <w:r>
          <w:rPr>
            <w:rStyle w:val="Hyperlink"/>
            <w:rFonts w:ascii="Arial" w:hAnsi="Arial" w:cs="Arial"/>
            <w:sz w:val="20"/>
            <w:szCs w:val="20"/>
          </w:rPr>
          <w:t>circular DOR.REG.No.84/07.01.000/2022-23 dated December 1, 2022</w:t>
        </w:r>
      </w:hyperlink>
      <w:r>
        <w:rPr>
          <w:rFonts w:ascii="Arial" w:hAnsi="Arial" w:cs="Arial"/>
          <w:color w:val="000000"/>
          <w:sz w:val="20"/>
          <w:szCs w:val="20"/>
        </w:rPr>
        <w:t>, in terms of which UCBs have been categorised into four tiers for regulatory purposes.</w:t>
      </w:r>
    </w:p>
    <w:p w:rsidR="00DA1141" w:rsidRDefault="00DA1141" w:rsidP="00DA1141">
      <w:pPr>
        <w:pStyle w:val="NormalWeb"/>
        <w:jc w:val="both"/>
        <w:rPr>
          <w:rFonts w:ascii="Arial" w:hAnsi="Arial" w:cs="Arial"/>
          <w:color w:val="000000"/>
          <w:sz w:val="20"/>
          <w:szCs w:val="20"/>
        </w:rPr>
      </w:pPr>
      <w:r>
        <w:rPr>
          <w:rFonts w:ascii="Arial" w:hAnsi="Arial" w:cs="Arial"/>
          <w:color w:val="000000"/>
          <w:sz w:val="20"/>
          <w:szCs w:val="20"/>
        </w:rPr>
        <w:t>2. In terms of the </w:t>
      </w:r>
      <w:hyperlink r:id="rId200" w:tgtFrame="_blank" w:history="1">
        <w:r>
          <w:rPr>
            <w:rStyle w:val="Hyperlink"/>
            <w:rFonts w:ascii="Arial" w:hAnsi="Arial" w:cs="Arial"/>
            <w:sz w:val="20"/>
            <w:szCs w:val="20"/>
          </w:rPr>
          <w:t>circular DOR.CRE.REC.42/09.22.010/2022-23 dated June 8, 2022</w:t>
        </w:r>
      </w:hyperlink>
      <w:r>
        <w:rPr>
          <w:rFonts w:ascii="Arial" w:hAnsi="Arial" w:cs="Arial"/>
          <w:color w:val="000000"/>
          <w:sz w:val="20"/>
          <w:szCs w:val="20"/>
        </w:rPr>
        <w:t xml:space="preserve">, ceilings on housing loans to individuals are prescribed as ₹60 lakh for Tier-I UCBs and ₹140 lakh for Tier-II UCBs. Consequent upon classification of UCBs into four tiers under the revised regulatory framework, it has been decided to specify the limits on housing loans sanctioned by UCBs to an individual borrower as ₹60 </w:t>
      </w:r>
      <w:proofErr w:type="gramStart"/>
      <w:r>
        <w:rPr>
          <w:rFonts w:ascii="Arial" w:hAnsi="Arial" w:cs="Arial"/>
          <w:color w:val="000000"/>
          <w:sz w:val="20"/>
          <w:szCs w:val="20"/>
        </w:rPr>
        <w:t>lakh</w:t>
      </w:r>
      <w:proofErr w:type="gramEnd"/>
      <w:r>
        <w:rPr>
          <w:rFonts w:ascii="Arial" w:hAnsi="Arial" w:cs="Arial"/>
          <w:color w:val="000000"/>
          <w:sz w:val="20"/>
          <w:szCs w:val="20"/>
        </w:rPr>
        <w:t xml:space="preserve"> for Tier-1 UCBs and ₹140 lakh for UCBs categorised in Tier-2 to 4. Other terms and conditions of the circular ibid, remain unchanged.</w:t>
      </w:r>
    </w:p>
    <w:p w:rsidR="00DA1141" w:rsidRDefault="00DA1141" w:rsidP="00DA1141">
      <w:pPr>
        <w:pStyle w:val="NormalWeb"/>
        <w:jc w:val="both"/>
        <w:rPr>
          <w:rFonts w:ascii="Arial" w:hAnsi="Arial" w:cs="Arial"/>
          <w:color w:val="000000"/>
          <w:sz w:val="20"/>
          <w:szCs w:val="20"/>
        </w:rPr>
      </w:pPr>
      <w:r>
        <w:rPr>
          <w:rFonts w:ascii="Arial" w:hAnsi="Arial" w:cs="Arial"/>
          <w:color w:val="000000"/>
          <w:sz w:val="20"/>
          <w:szCs w:val="20"/>
        </w:rPr>
        <w:t>3. The limits prescribed under this circular are effective from the date of this circular. However, existing housing loans sanctioned prior to the date of this circular, which may be in breach of the ceiling, will be allowed to run off till maturity.</w:t>
      </w:r>
    </w:p>
    <w:p w:rsidR="00DA1141" w:rsidRDefault="00DA1141" w:rsidP="00DA1141">
      <w:pPr>
        <w:pStyle w:val="NormalWeb"/>
        <w:jc w:val="both"/>
        <w:rPr>
          <w:rFonts w:ascii="Arial" w:hAnsi="Arial" w:cs="Arial"/>
          <w:color w:val="000000"/>
          <w:sz w:val="20"/>
          <w:szCs w:val="20"/>
        </w:rPr>
      </w:pPr>
      <w:r>
        <w:rPr>
          <w:rFonts w:ascii="Arial" w:hAnsi="Arial" w:cs="Arial"/>
          <w:color w:val="000000"/>
          <w:sz w:val="20"/>
          <w:szCs w:val="20"/>
        </w:rPr>
        <w:t>Yours faithfully,</w:t>
      </w:r>
    </w:p>
    <w:p w:rsidR="00DA1141" w:rsidRDefault="00DA1141" w:rsidP="00DA1141">
      <w:pPr>
        <w:pStyle w:val="NormalWeb"/>
        <w:rPr>
          <w:rFonts w:ascii="Arial" w:hAnsi="Arial" w:cs="Arial"/>
          <w:color w:val="000000"/>
          <w:sz w:val="20"/>
          <w:szCs w:val="20"/>
        </w:rPr>
      </w:pPr>
      <w:r>
        <w:rPr>
          <w:rFonts w:ascii="Arial" w:hAnsi="Arial" w:cs="Arial"/>
          <w:color w:val="000000"/>
          <w:sz w:val="20"/>
          <w:szCs w:val="20"/>
        </w:rPr>
        <w:t>(</w:t>
      </w:r>
      <w:proofErr w:type="spellStart"/>
      <w:r>
        <w:rPr>
          <w:rFonts w:ascii="Arial" w:hAnsi="Arial" w:cs="Arial"/>
          <w:color w:val="000000"/>
          <w:sz w:val="20"/>
          <w:szCs w:val="20"/>
        </w:rPr>
        <w:t>Manoranjan</w:t>
      </w:r>
      <w:proofErr w:type="spellEnd"/>
      <w:r>
        <w:rPr>
          <w:rFonts w:ascii="Arial" w:hAnsi="Arial" w:cs="Arial"/>
          <w:color w:val="000000"/>
          <w:sz w:val="20"/>
          <w:szCs w:val="20"/>
        </w:rPr>
        <w:t xml:space="preserve"> Mishra)</w:t>
      </w:r>
      <w:r>
        <w:rPr>
          <w:rFonts w:ascii="Arial" w:hAnsi="Arial" w:cs="Arial"/>
          <w:color w:val="000000"/>
          <w:sz w:val="20"/>
          <w:szCs w:val="20"/>
        </w:rPr>
        <w:br/>
        <w:t>Chief General Manager</w:t>
      </w:r>
    </w:p>
    <w:p w:rsidR="00DA1141" w:rsidRDefault="00DA1141" w:rsidP="00DA1141">
      <w:pPr>
        <w:rPr>
          <w:rFonts w:ascii="Arial" w:hAnsi="Arial" w:cs="Arial"/>
          <w:sz w:val="20"/>
          <w:szCs w:val="20"/>
        </w:rPr>
      </w:pPr>
    </w:p>
    <w:p w:rsidR="00DA1141" w:rsidRDefault="00DA1141" w:rsidP="00DA1141">
      <w:pPr>
        <w:rPr>
          <w:rFonts w:ascii="Arial" w:hAnsi="Arial" w:cs="Arial"/>
          <w:sz w:val="20"/>
          <w:szCs w:val="20"/>
        </w:rPr>
      </w:pPr>
    </w:p>
    <w:p w:rsidR="00DA1141" w:rsidRDefault="00DA1141" w:rsidP="00DA1141">
      <w:pPr>
        <w:spacing w:after="0"/>
        <w:rPr>
          <w:rFonts w:ascii="Arial" w:hAnsi="Arial" w:cs="Arial"/>
          <w:sz w:val="20"/>
          <w:szCs w:val="20"/>
        </w:rPr>
      </w:pPr>
      <w:r w:rsidRPr="00435B25">
        <w:rPr>
          <w:rFonts w:ascii="Arial" w:hAnsi="Arial" w:cs="Arial"/>
          <w:sz w:val="20"/>
          <w:szCs w:val="20"/>
        </w:rPr>
        <w:t>More details can be referred to in the below link.</w:t>
      </w:r>
    </w:p>
    <w:p w:rsidR="00DA1141" w:rsidRDefault="00DA1141" w:rsidP="00DA1141">
      <w:pPr>
        <w:rPr>
          <w:rFonts w:ascii="Arial" w:hAnsi="Arial" w:cs="Arial"/>
          <w:sz w:val="20"/>
          <w:szCs w:val="20"/>
        </w:rPr>
      </w:pPr>
      <w:r w:rsidRPr="00435B25">
        <w:rPr>
          <w:rFonts w:ascii="Arial" w:hAnsi="Arial" w:cs="Arial"/>
          <w:sz w:val="20"/>
          <w:szCs w:val="20"/>
        </w:rPr>
        <w:t>Reference Link:</w:t>
      </w:r>
      <w:r>
        <w:rPr>
          <w:rFonts w:ascii="Arial" w:hAnsi="Arial" w:cs="Arial"/>
          <w:sz w:val="20"/>
          <w:szCs w:val="20"/>
        </w:rPr>
        <w:t xml:space="preserve"> </w:t>
      </w:r>
      <w:hyperlink r:id="rId201" w:anchor=":~:text=010%2F2022%2D23%20dated%20June,lakh%20for%20Tier%2DII%20UCBs" w:history="1">
        <w:r w:rsidRPr="00735218">
          <w:rPr>
            <w:rStyle w:val="Hyperlink"/>
            <w:rFonts w:ascii="Arial" w:hAnsi="Arial" w:cs="Arial"/>
            <w:sz w:val="20"/>
            <w:szCs w:val="20"/>
          </w:rPr>
          <w:t>https://www.rbi.org.in/Scripts/BS_CircularIndexDisplay.aspx?Id=12432#:~:text=010%2F2022%2D23%20dated%20June,lakh%20for%20Tier%2DII%20UCBs</w:t>
        </w:r>
      </w:hyperlink>
      <w:r w:rsidRPr="00587F28">
        <w:rPr>
          <w:rFonts w:ascii="Arial" w:hAnsi="Arial" w:cs="Arial"/>
          <w:sz w:val="20"/>
          <w:szCs w:val="20"/>
        </w:rPr>
        <w:t>.</w:t>
      </w:r>
    </w:p>
    <w:p w:rsidR="00DA1141" w:rsidRDefault="00DA1141" w:rsidP="00DA1141">
      <w:pPr>
        <w:rPr>
          <w:rFonts w:ascii="Arial" w:hAnsi="Arial" w:cs="Arial"/>
          <w:sz w:val="20"/>
          <w:szCs w:val="20"/>
        </w:rPr>
      </w:pPr>
    </w:p>
    <w:p w:rsidR="00DA1141" w:rsidRDefault="00DA1141" w:rsidP="00C96881">
      <w:pPr>
        <w:rPr>
          <w:rFonts w:ascii="Arial" w:hAnsi="Arial" w:cs="Arial"/>
          <w:bCs/>
          <w:color w:val="000000"/>
          <w:sz w:val="20"/>
          <w:szCs w:val="20"/>
        </w:rPr>
      </w:pPr>
    </w:p>
    <w:sectPr w:rsidR="00DA114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C2351A"/>
    <w:multiLevelType w:val="multilevel"/>
    <w:tmpl w:val="D3922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5602B0"/>
    <w:multiLevelType w:val="multilevel"/>
    <w:tmpl w:val="A0CE789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1C1460AC"/>
    <w:multiLevelType w:val="multilevel"/>
    <w:tmpl w:val="F77ABC20"/>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 w15:restartNumberingAfterBreak="0">
    <w:nsid w:val="1E3167B8"/>
    <w:multiLevelType w:val="multilevel"/>
    <w:tmpl w:val="96ACE0A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1EDC1B6B"/>
    <w:multiLevelType w:val="multilevel"/>
    <w:tmpl w:val="421C98C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212E110C"/>
    <w:multiLevelType w:val="multilevel"/>
    <w:tmpl w:val="5B24EE3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29D33C14"/>
    <w:multiLevelType w:val="multilevel"/>
    <w:tmpl w:val="3B1E554C"/>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7" w15:restartNumberingAfterBreak="0">
    <w:nsid w:val="3109580A"/>
    <w:multiLevelType w:val="multilevel"/>
    <w:tmpl w:val="9086F5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3F2418FB"/>
    <w:multiLevelType w:val="multilevel"/>
    <w:tmpl w:val="0C0A299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4F8E310F"/>
    <w:multiLevelType w:val="multilevel"/>
    <w:tmpl w:val="7B2CB72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5A00010F"/>
    <w:multiLevelType w:val="multilevel"/>
    <w:tmpl w:val="A72CC1C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5C79498A"/>
    <w:multiLevelType w:val="multilevel"/>
    <w:tmpl w:val="EF84298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5D2B74A0"/>
    <w:multiLevelType w:val="multilevel"/>
    <w:tmpl w:val="F9CA65CC"/>
    <w:lvl w:ilvl="0">
      <w:start w:val="1"/>
      <w:numFmt w:val="lowerLetter"/>
      <w:lvlText w:val="%1."/>
      <w:lvlJc w:val="left"/>
      <w:pPr>
        <w:tabs>
          <w:tab w:val="num" w:pos="3240"/>
        </w:tabs>
        <w:ind w:left="3240" w:hanging="360"/>
      </w:pPr>
    </w:lvl>
    <w:lvl w:ilvl="1" w:tentative="1">
      <w:start w:val="1"/>
      <w:numFmt w:val="lowerLetter"/>
      <w:lvlText w:val="%2."/>
      <w:lvlJc w:val="left"/>
      <w:pPr>
        <w:tabs>
          <w:tab w:val="num" w:pos="3960"/>
        </w:tabs>
        <w:ind w:left="3960" w:hanging="360"/>
      </w:pPr>
    </w:lvl>
    <w:lvl w:ilvl="2" w:tentative="1">
      <w:start w:val="1"/>
      <w:numFmt w:val="lowerLetter"/>
      <w:lvlText w:val="%3."/>
      <w:lvlJc w:val="left"/>
      <w:pPr>
        <w:tabs>
          <w:tab w:val="num" w:pos="4680"/>
        </w:tabs>
        <w:ind w:left="4680" w:hanging="360"/>
      </w:pPr>
    </w:lvl>
    <w:lvl w:ilvl="3" w:tentative="1">
      <w:start w:val="1"/>
      <w:numFmt w:val="lowerLetter"/>
      <w:lvlText w:val="%4."/>
      <w:lvlJc w:val="left"/>
      <w:pPr>
        <w:tabs>
          <w:tab w:val="num" w:pos="5400"/>
        </w:tabs>
        <w:ind w:left="5400" w:hanging="360"/>
      </w:pPr>
    </w:lvl>
    <w:lvl w:ilvl="4" w:tentative="1">
      <w:start w:val="1"/>
      <w:numFmt w:val="lowerLetter"/>
      <w:lvlText w:val="%5."/>
      <w:lvlJc w:val="left"/>
      <w:pPr>
        <w:tabs>
          <w:tab w:val="num" w:pos="6120"/>
        </w:tabs>
        <w:ind w:left="6120" w:hanging="360"/>
      </w:pPr>
    </w:lvl>
    <w:lvl w:ilvl="5" w:tentative="1">
      <w:start w:val="1"/>
      <w:numFmt w:val="lowerLetter"/>
      <w:lvlText w:val="%6."/>
      <w:lvlJc w:val="left"/>
      <w:pPr>
        <w:tabs>
          <w:tab w:val="num" w:pos="6840"/>
        </w:tabs>
        <w:ind w:left="6840" w:hanging="360"/>
      </w:pPr>
    </w:lvl>
    <w:lvl w:ilvl="6" w:tentative="1">
      <w:start w:val="1"/>
      <w:numFmt w:val="lowerLetter"/>
      <w:lvlText w:val="%7."/>
      <w:lvlJc w:val="left"/>
      <w:pPr>
        <w:tabs>
          <w:tab w:val="num" w:pos="7560"/>
        </w:tabs>
        <w:ind w:left="7560" w:hanging="360"/>
      </w:pPr>
    </w:lvl>
    <w:lvl w:ilvl="7" w:tentative="1">
      <w:start w:val="1"/>
      <w:numFmt w:val="lowerLetter"/>
      <w:lvlText w:val="%8."/>
      <w:lvlJc w:val="left"/>
      <w:pPr>
        <w:tabs>
          <w:tab w:val="num" w:pos="8280"/>
        </w:tabs>
        <w:ind w:left="8280" w:hanging="360"/>
      </w:pPr>
    </w:lvl>
    <w:lvl w:ilvl="8" w:tentative="1">
      <w:start w:val="1"/>
      <w:numFmt w:val="lowerLetter"/>
      <w:lvlText w:val="%9."/>
      <w:lvlJc w:val="left"/>
      <w:pPr>
        <w:tabs>
          <w:tab w:val="num" w:pos="9000"/>
        </w:tabs>
        <w:ind w:left="9000" w:hanging="360"/>
      </w:pPr>
    </w:lvl>
  </w:abstractNum>
  <w:abstractNum w:abstractNumId="13" w15:restartNumberingAfterBreak="0">
    <w:nsid w:val="63D114ED"/>
    <w:multiLevelType w:val="multilevel"/>
    <w:tmpl w:val="1236179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6A6B539B"/>
    <w:multiLevelType w:val="multilevel"/>
    <w:tmpl w:val="53BE2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8FC2A94"/>
    <w:multiLevelType w:val="multilevel"/>
    <w:tmpl w:val="3808D5B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7B077D3E"/>
    <w:multiLevelType w:val="multilevel"/>
    <w:tmpl w:val="18D60FC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4"/>
  </w:num>
  <w:num w:numId="2">
    <w:abstractNumId w:val="10"/>
  </w:num>
  <w:num w:numId="3">
    <w:abstractNumId w:val="15"/>
  </w:num>
  <w:num w:numId="4">
    <w:abstractNumId w:val="12"/>
  </w:num>
  <w:num w:numId="5">
    <w:abstractNumId w:val="9"/>
  </w:num>
  <w:num w:numId="6">
    <w:abstractNumId w:val="2"/>
  </w:num>
  <w:num w:numId="7">
    <w:abstractNumId w:val="1"/>
  </w:num>
  <w:num w:numId="8">
    <w:abstractNumId w:val="11"/>
  </w:num>
  <w:num w:numId="9">
    <w:abstractNumId w:val="13"/>
  </w:num>
  <w:num w:numId="10">
    <w:abstractNumId w:val="8"/>
  </w:num>
  <w:num w:numId="11">
    <w:abstractNumId w:val="5"/>
  </w:num>
  <w:num w:numId="12">
    <w:abstractNumId w:val="6"/>
  </w:num>
  <w:num w:numId="13">
    <w:abstractNumId w:val="7"/>
  </w:num>
  <w:num w:numId="14">
    <w:abstractNumId w:val="16"/>
  </w:num>
  <w:num w:numId="15">
    <w:abstractNumId w:val="0"/>
  </w:num>
  <w:num w:numId="16">
    <w:abstractNumId w:val="14"/>
  </w:num>
  <w:num w:numId="17">
    <w:abstractNumId w:val="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7A02"/>
    <w:rsid w:val="0001090D"/>
    <w:rsid w:val="000575E0"/>
    <w:rsid w:val="00091F3D"/>
    <w:rsid w:val="00092B6C"/>
    <w:rsid w:val="000B7E87"/>
    <w:rsid w:val="000D13CB"/>
    <w:rsid w:val="000E2E54"/>
    <w:rsid w:val="00131C73"/>
    <w:rsid w:val="001942B3"/>
    <w:rsid w:val="001E1B5B"/>
    <w:rsid w:val="002378C0"/>
    <w:rsid w:val="00274FAB"/>
    <w:rsid w:val="002E3BA0"/>
    <w:rsid w:val="00311876"/>
    <w:rsid w:val="004107B0"/>
    <w:rsid w:val="00421545"/>
    <w:rsid w:val="00430013"/>
    <w:rsid w:val="00443878"/>
    <w:rsid w:val="00454EA3"/>
    <w:rsid w:val="00470480"/>
    <w:rsid w:val="004C0D2D"/>
    <w:rsid w:val="005004E7"/>
    <w:rsid w:val="005065B6"/>
    <w:rsid w:val="00517EA2"/>
    <w:rsid w:val="0052353B"/>
    <w:rsid w:val="00531DEE"/>
    <w:rsid w:val="00536CF8"/>
    <w:rsid w:val="005678E7"/>
    <w:rsid w:val="0057089E"/>
    <w:rsid w:val="00594523"/>
    <w:rsid w:val="00595AE9"/>
    <w:rsid w:val="00595F75"/>
    <w:rsid w:val="005B17C1"/>
    <w:rsid w:val="005B3A67"/>
    <w:rsid w:val="005F6218"/>
    <w:rsid w:val="006458AB"/>
    <w:rsid w:val="00652C47"/>
    <w:rsid w:val="006817D7"/>
    <w:rsid w:val="00704265"/>
    <w:rsid w:val="007337B5"/>
    <w:rsid w:val="0073686B"/>
    <w:rsid w:val="00751B52"/>
    <w:rsid w:val="00783FC1"/>
    <w:rsid w:val="007D6A09"/>
    <w:rsid w:val="007F311D"/>
    <w:rsid w:val="00823298"/>
    <w:rsid w:val="00827FA7"/>
    <w:rsid w:val="008464C9"/>
    <w:rsid w:val="00866E4E"/>
    <w:rsid w:val="008A1BA1"/>
    <w:rsid w:val="008C7A02"/>
    <w:rsid w:val="00957BFA"/>
    <w:rsid w:val="0099661C"/>
    <w:rsid w:val="009B4291"/>
    <w:rsid w:val="009E2127"/>
    <w:rsid w:val="00A50C6D"/>
    <w:rsid w:val="00AC68C8"/>
    <w:rsid w:val="00B73361"/>
    <w:rsid w:val="00BA0C06"/>
    <w:rsid w:val="00BA4199"/>
    <w:rsid w:val="00BA5B87"/>
    <w:rsid w:val="00BA70DE"/>
    <w:rsid w:val="00BD2F5E"/>
    <w:rsid w:val="00BE4BD6"/>
    <w:rsid w:val="00C16E00"/>
    <w:rsid w:val="00C96881"/>
    <w:rsid w:val="00CA5815"/>
    <w:rsid w:val="00DA1141"/>
    <w:rsid w:val="00DA36B4"/>
    <w:rsid w:val="00DC2321"/>
    <w:rsid w:val="00DD06BC"/>
    <w:rsid w:val="00E653FA"/>
    <w:rsid w:val="00EA23F4"/>
    <w:rsid w:val="00F137D4"/>
    <w:rsid w:val="00FA51FA"/>
    <w:rsid w:val="00FD1759"/>
    <w:rsid w:val="00FE734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AF011E-DCE8-4248-8C4C-2C9A910B3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C7A02"/>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head">
    <w:name w:val="head"/>
    <w:basedOn w:val="Normal"/>
    <w:rsid w:val="008C7A02"/>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Hyperlink">
    <w:name w:val="Hyperlink"/>
    <w:basedOn w:val="DefaultParagraphFont"/>
    <w:uiPriority w:val="99"/>
    <w:unhideWhenUsed/>
    <w:rsid w:val="008C7A02"/>
    <w:rPr>
      <w:color w:val="0000FF"/>
      <w:u w:val="single"/>
    </w:rPr>
  </w:style>
  <w:style w:type="character" w:styleId="Strong">
    <w:name w:val="Strong"/>
    <w:basedOn w:val="DefaultParagraphFont"/>
    <w:uiPriority w:val="22"/>
    <w:qFormat/>
    <w:rsid w:val="008C7A02"/>
    <w:rPr>
      <w:b/>
      <w:bCs/>
    </w:rPr>
  </w:style>
  <w:style w:type="character" w:customStyle="1" w:styleId="head1">
    <w:name w:val="head1"/>
    <w:basedOn w:val="DefaultParagraphFont"/>
    <w:rsid w:val="00BE4BD6"/>
  </w:style>
  <w:style w:type="paragraph" w:customStyle="1" w:styleId="msonormal0">
    <w:name w:val="msonormal"/>
    <w:basedOn w:val="Normal"/>
    <w:rsid w:val="00430013"/>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FollowedHyperlink">
    <w:name w:val="FollowedHyperlink"/>
    <w:basedOn w:val="DefaultParagraphFont"/>
    <w:uiPriority w:val="99"/>
    <w:semiHidden/>
    <w:unhideWhenUsed/>
    <w:rsid w:val="00430013"/>
    <w:rPr>
      <w:color w:val="800080"/>
      <w:u w:val="single"/>
    </w:rPr>
  </w:style>
  <w:style w:type="character" w:styleId="Emphasis">
    <w:name w:val="Emphasis"/>
    <w:basedOn w:val="DefaultParagraphFont"/>
    <w:uiPriority w:val="20"/>
    <w:qFormat/>
    <w:rsid w:val="00C16E00"/>
    <w:rPr>
      <w:i/>
      <w:iCs/>
    </w:rPr>
  </w:style>
  <w:style w:type="table" w:styleId="TableGrid">
    <w:name w:val="Table Grid"/>
    <w:basedOn w:val="TableNormal"/>
    <w:uiPriority w:val="39"/>
    <w:rsid w:val="007368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A4199"/>
    <w:pPr>
      <w:ind w:left="720"/>
      <w:contextualSpacing/>
    </w:pPr>
  </w:style>
  <w:style w:type="paragraph" w:styleId="NoSpacing">
    <w:name w:val="No Spacing"/>
    <w:uiPriority w:val="1"/>
    <w:qFormat/>
    <w:rsid w:val="00BA0C0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41075">
      <w:bodyDiv w:val="1"/>
      <w:marLeft w:val="0"/>
      <w:marRight w:val="0"/>
      <w:marTop w:val="0"/>
      <w:marBottom w:val="0"/>
      <w:divBdr>
        <w:top w:val="none" w:sz="0" w:space="0" w:color="auto"/>
        <w:left w:val="none" w:sz="0" w:space="0" w:color="auto"/>
        <w:bottom w:val="none" w:sz="0" w:space="0" w:color="auto"/>
        <w:right w:val="none" w:sz="0" w:space="0" w:color="auto"/>
      </w:divBdr>
    </w:div>
    <w:div w:id="8609002">
      <w:bodyDiv w:val="1"/>
      <w:marLeft w:val="0"/>
      <w:marRight w:val="0"/>
      <w:marTop w:val="0"/>
      <w:marBottom w:val="0"/>
      <w:divBdr>
        <w:top w:val="none" w:sz="0" w:space="0" w:color="auto"/>
        <w:left w:val="none" w:sz="0" w:space="0" w:color="auto"/>
        <w:bottom w:val="none" w:sz="0" w:space="0" w:color="auto"/>
        <w:right w:val="none" w:sz="0" w:space="0" w:color="auto"/>
      </w:divBdr>
    </w:div>
    <w:div w:id="16539461">
      <w:bodyDiv w:val="1"/>
      <w:marLeft w:val="0"/>
      <w:marRight w:val="0"/>
      <w:marTop w:val="0"/>
      <w:marBottom w:val="0"/>
      <w:divBdr>
        <w:top w:val="none" w:sz="0" w:space="0" w:color="auto"/>
        <w:left w:val="none" w:sz="0" w:space="0" w:color="auto"/>
        <w:bottom w:val="none" w:sz="0" w:space="0" w:color="auto"/>
        <w:right w:val="none" w:sz="0" w:space="0" w:color="auto"/>
      </w:divBdr>
    </w:div>
    <w:div w:id="21321484">
      <w:bodyDiv w:val="1"/>
      <w:marLeft w:val="0"/>
      <w:marRight w:val="0"/>
      <w:marTop w:val="0"/>
      <w:marBottom w:val="0"/>
      <w:divBdr>
        <w:top w:val="none" w:sz="0" w:space="0" w:color="auto"/>
        <w:left w:val="none" w:sz="0" w:space="0" w:color="auto"/>
        <w:bottom w:val="none" w:sz="0" w:space="0" w:color="auto"/>
        <w:right w:val="none" w:sz="0" w:space="0" w:color="auto"/>
      </w:divBdr>
    </w:div>
    <w:div w:id="28579107">
      <w:bodyDiv w:val="1"/>
      <w:marLeft w:val="0"/>
      <w:marRight w:val="0"/>
      <w:marTop w:val="0"/>
      <w:marBottom w:val="0"/>
      <w:divBdr>
        <w:top w:val="none" w:sz="0" w:space="0" w:color="auto"/>
        <w:left w:val="none" w:sz="0" w:space="0" w:color="auto"/>
        <w:bottom w:val="none" w:sz="0" w:space="0" w:color="auto"/>
        <w:right w:val="none" w:sz="0" w:space="0" w:color="auto"/>
      </w:divBdr>
    </w:div>
    <w:div w:id="33889819">
      <w:bodyDiv w:val="1"/>
      <w:marLeft w:val="0"/>
      <w:marRight w:val="0"/>
      <w:marTop w:val="0"/>
      <w:marBottom w:val="0"/>
      <w:divBdr>
        <w:top w:val="none" w:sz="0" w:space="0" w:color="auto"/>
        <w:left w:val="none" w:sz="0" w:space="0" w:color="auto"/>
        <w:bottom w:val="none" w:sz="0" w:space="0" w:color="auto"/>
        <w:right w:val="none" w:sz="0" w:space="0" w:color="auto"/>
      </w:divBdr>
    </w:div>
    <w:div w:id="36974684">
      <w:bodyDiv w:val="1"/>
      <w:marLeft w:val="0"/>
      <w:marRight w:val="0"/>
      <w:marTop w:val="0"/>
      <w:marBottom w:val="0"/>
      <w:divBdr>
        <w:top w:val="none" w:sz="0" w:space="0" w:color="auto"/>
        <w:left w:val="none" w:sz="0" w:space="0" w:color="auto"/>
        <w:bottom w:val="none" w:sz="0" w:space="0" w:color="auto"/>
        <w:right w:val="none" w:sz="0" w:space="0" w:color="auto"/>
      </w:divBdr>
    </w:div>
    <w:div w:id="61292278">
      <w:bodyDiv w:val="1"/>
      <w:marLeft w:val="0"/>
      <w:marRight w:val="0"/>
      <w:marTop w:val="0"/>
      <w:marBottom w:val="0"/>
      <w:divBdr>
        <w:top w:val="none" w:sz="0" w:space="0" w:color="auto"/>
        <w:left w:val="none" w:sz="0" w:space="0" w:color="auto"/>
        <w:bottom w:val="none" w:sz="0" w:space="0" w:color="auto"/>
        <w:right w:val="none" w:sz="0" w:space="0" w:color="auto"/>
      </w:divBdr>
    </w:div>
    <w:div w:id="92291526">
      <w:bodyDiv w:val="1"/>
      <w:marLeft w:val="0"/>
      <w:marRight w:val="0"/>
      <w:marTop w:val="0"/>
      <w:marBottom w:val="0"/>
      <w:divBdr>
        <w:top w:val="none" w:sz="0" w:space="0" w:color="auto"/>
        <w:left w:val="none" w:sz="0" w:space="0" w:color="auto"/>
        <w:bottom w:val="none" w:sz="0" w:space="0" w:color="auto"/>
        <w:right w:val="none" w:sz="0" w:space="0" w:color="auto"/>
      </w:divBdr>
    </w:div>
    <w:div w:id="94643453">
      <w:bodyDiv w:val="1"/>
      <w:marLeft w:val="0"/>
      <w:marRight w:val="0"/>
      <w:marTop w:val="0"/>
      <w:marBottom w:val="0"/>
      <w:divBdr>
        <w:top w:val="none" w:sz="0" w:space="0" w:color="auto"/>
        <w:left w:val="none" w:sz="0" w:space="0" w:color="auto"/>
        <w:bottom w:val="none" w:sz="0" w:space="0" w:color="auto"/>
        <w:right w:val="none" w:sz="0" w:space="0" w:color="auto"/>
      </w:divBdr>
    </w:div>
    <w:div w:id="108089582">
      <w:bodyDiv w:val="1"/>
      <w:marLeft w:val="0"/>
      <w:marRight w:val="0"/>
      <w:marTop w:val="0"/>
      <w:marBottom w:val="0"/>
      <w:divBdr>
        <w:top w:val="none" w:sz="0" w:space="0" w:color="auto"/>
        <w:left w:val="none" w:sz="0" w:space="0" w:color="auto"/>
        <w:bottom w:val="none" w:sz="0" w:space="0" w:color="auto"/>
        <w:right w:val="none" w:sz="0" w:space="0" w:color="auto"/>
      </w:divBdr>
    </w:div>
    <w:div w:id="137000519">
      <w:bodyDiv w:val="1"/>
      <w:marLeft w:val="0"/>
      <w:marRight w:val="0"/>
      <w:marTop w:val="0"/>
      <w:marBottom w:val="0"/>
      <w:divBdr>
        <w:top w:val="none" w:sz="0" w:space="0" w:color="auto"/>
        <w:left w:val="none" w:sz="0" w:space="0" w:color="auto"/>
        <w:bottom w:val="none" w:sz="0" w:space="0" w:color="auto"/>
        <w:right w:val="none" w:sz="0" w:space="0" w:color="auto"/>
      </w:divBdr>
    </w:div>
    <w:div w:id="166487762">
      <w:bodyDiv w:val="1"/>
      <w:marLeft w:val="0"/>
      <w:marRight w:val="0"/>
      <w:marTop w:val="0"/>
      <w:marBottom w:val="0"/>
      <w:divBdr>
        <w:top w:val="none" w:sz="0" w:space="0" w:color="auto"/>
        <w:left w:val="none" w:sz="0" w:space="0" w:color="auto"/>
        <w:bottom w:val="none" w:sz="0" w:space="0" w:color="auto"/>
        <w:right w:val="none" w:sz="0" w:space="0" w:color="auto"/>
      </w:divBdr>
      <w:divsChild>
        <w:div w:id="152334995">
          <w:blockQuote w:val="1"/>
          <w:marLeft w:val="600"/>
          <w:marRight w:val="600"/>
          <w:marTop w:val="240"/>
          <w:marBottom w:val="240"/>
          <w:divBdr>
            <w:top w:val="none" w:sz="0" w:space="0" w:color="auto"/>
            <w:left w:val="none" w:sz="0" w:space="0" w:color="auto"/>
            <w:bottom w:val="none" w:sz="0" w:space="0" w:color="auto"/>
            <w:right w:val="none" w:sz="0" w:space="0" w:color="auto"/>
          </w:divBdr>
        </w:div>
      </w:divsChild>
    </w:div>
    <w:div w:id="213591510">
      <w:bodyDiv w:val="1"/>
      <w:marLeft w:val="0"/>
      <w:marRight w:val="0"/>
      <w:marTop w:val="0"/>
      <w:marBottom w:val="0"/>
      <w:divBdr>
        <w:top w:val="none" w:sz="0" w:space="0" w:color="auto"/>
        <w:left w:val="none" w:sz="0" w:space="0" w:color="auto"/>
        <w:bottom w:val="none" w:sz="0" w:space="0" w:color="auto"/>
        <w:right w:val="none" w:sz="0" w:space="0" w:color="auto"/>
      </w:divBdr>
    </w:div>
    <w:div w:id="216668471">
      <w:bodyDiv w:val="1"/>
      <w:marLeft w:val="0"/>
      <w:marRight w:val="0"/>
      <w:marTop w:val="0"/>
      <w:marBottom w:val="0"/>
      <w:divBdr>
        <w:top w:val="none" w:sz="0" w:space="0" w:color="auto"/>
        <w:left w:val="none" w:sz="0" w:space="0" w:color="auto"/>
        <w:bottom w:val="none" w:sz="0" w:space="0" w:color="auto"/>
        <w:right w:val="none" w:sz="0" w:space="0" w:color="auto"/>
      </w:divBdr>
    </w:div>
    <w:div w:id="217790509">
      <w:bodyDiv w:val="1"/>
      <w:marLeft w:val="0"/>
      <w:marRight w:val="0"/>
      <w:marTop w:val="0"/>
      <w:marBottom w:val="0"/>
      <w:divBdr>
        <w:top w:val="none" w:sz="0" w:space="0" w:color="auto"/>
        <w:left w:val="none" w:sz="0" w:space="0" w:color="auto"/>
        <w:bottom w:val="none" w:sz="0" w:space="0" w:color="auto"/>
        <w:right w:val="none" w:sz="0" w:space="0" w:color="auto"/>
      </w:divBdr>
    </w:div>
    <w:div w:id="222764671">
      <w:bodyDiv w:val="1"/>
      <w:marLeft w:val="0"/>
      <w:marRight w:val="0"/>
      <w:marTop w:val="0"/>
      <w:marBottom w:val="0"/>
      <w:divBdr>
        <w:top w:val="none" w:sz="0" w:space="0" w:color="auto"/>
        <w:left w:val="none" w:sz="0" w:space="0" w:color="auto"/>
        <w:bottom w:val="none" w:sz="0" w:space="0" w:color="auto"/>
        <w:right w:val="none" w:sz="0" w:space="0" w:color="auto"/>
      </w:divBdr>
    </w:div>
    <w:div w:id="227493853">
      <w:bodyDiv w:val="1"/>
      <w:marLeft w:val="0"/>
      <w:marRight w:val="0"/>
      <w:marTop w:val="0"/>
      <w:marBottom w:val="0"/>
      <w:divBdr>
        <w:top w:val="none" w:sz="0" w:space="0" w:color="auto"/>
        <w:left w:val="none" w:sz="0" w:space="0" w:color="auto"/>
        <w:bottom w:val="none" w:sz="0" w:space="0" w:color="auto"/>
        <w:right w:val="none" w:sz="0" w:space="0" w:color="auto"/>
      </w:divBdr>
    </w:div>
    <w:div w:id="230819233">
      <w:bodyDiv w:val="1"/>
      <w:marLeft w:val="0"/>
      <w:marRight w:val="0"/>
      <w:marTop w:val="0"/>
      <w:marBottom w:val="0"/>
      <w:divBdr>
        <w:top w:val="none" w:sz="0" w:space="0" w:color="auto"/>
        <w:left w:val="none" w:sz="0" w:space="0" w:color="auto"/>
        <w:bottom w:val="none" w:sz="0" w:space="0" w:color="auto"/>
        <w:right w:val="none" w:sz="0" w:space="0" w:color="auto"/>
      </w:divBdr>
    </w:div>
    <w:div w:id="231158842">
      <w:bodyDiv w:val="1"/>
      <w:marLeft w:val="0"/>
      <w:marRight w:val="0"/>
      <w:marTop w:val="0"/>
      <w:marBottom w:val="0"/>
      <w:divBdr>
        <w:top w:val="none" w:sz="0" w:space="0" w:color="auto"/>
        <w:left w:val="none" w:sz="0" w:space="0" w:color="auto"/>
        <w:bottom w:val="none" w:sz="0" w:space="0" w:color="auto"/>
        <w:right w:val="none" w:sz="0" w:space="0" w:color="auto"/>
      </w:divBdr>
    </w:div>
    <w:div w:id="233929865">
      <w:bodyDiv w:val="1"/>
      <w:marLeft w:val="0"/>
      <w:marRight w:val="0"/>
      <w:marTop w:val="0"/>
      <w:marBottom w:val="0"/>
      <w:divBdr>
        <w:top w:val="none" w:sz="0" w:space="0" w:color="auto"/>
        <w:left w:val="none" w:sz="0" w:space="0" w:color="auto"/>
        <w:bottom w:val="none" w:sz="0" w:space="0" w:color="auto"/>
        <w:right w:val="none" w:sz="0" w:space="0" w:color="auto"/>
      </w:divBdr>
    </w:div>
    <w:div w:id="235286390">
      <w:bodyDiv w:val="1"/>
      <w:marLeft w:val="0"/>
      <w:marRight w:val="0"/>
      <w:marTop w:val="0"/>
      <w:marBottom w:val="0"/>
      <w:divBdr>
        <w:top w:val="none" w:sz="0" w:space="0" w:color="auto"/>
        <w:left w:val="none" w:sz="0" w:space="0" w:color="auto"/>
        <w:bottom w:val="none" w:sz="0" w:space="0" w:color="auto"/>
        <w:right w:val="none" w:sz="0" w:space="0" w:color="auto"/>
      </w:divBdr>
    </w:div>
    <w:div w:id="258567117">
      <w:bodyDiv w:val="1"/>
      <w:marLeft w:val="0"/>
      <w:marRight w:val="0"/>
      <w:marTop w:val="0"/>
      <w:marBottom w:val="0"/>
      <w:divBdr>
        <w:top w:val="none" w:sz="0" w:space="0" w:color="auto"/>
        <w:left w:val="none" w:sz="0" w:space="0" w:color="auto"/>
        <w:bottom w:val="none" w:sz="0" w:space="0" w:color="auto"/>
        <w:right w:val="none" w:sz="0" w:space="0" w:color="auto"/>
      </w:divBdr>
    </w:div>
    <w:div w:id="271858561">
      <w:bodyDiv w:val="1"/>
      <w:marLeft w:val="0"/>
      <w:marRight w:val="0"/>
      <w:marTop w:val="0"/>
      <w:marBottom w:val="0"/>
      <w:divBdr>
        <w:top w:val="none" w:sz="0" w:space="0" w:color="auto"/>
        <w:left w:val="none" w:sz="0" w:space="0" w:color="auto"/>
        <w:bottom w:val="none" w:sz="0" w:space="0" w:color="auto"/>
        <w:right w:val="none" w:sz="0" w:space="0" w:color="auto"/>
      </w:divBdr>
    </w:div>
    <w:div w:id="274557839">
      <w:bodyDiv w:val="1"/>
      <w:marLeft w:val="0"/>
      <w:marRight w:val="0"/>
      <w:marTop w:val="0"/>
      <w:marBottom w:val="0"/>
      <w:divBdr>
        <w:top w:val="none" w:sz="0" w:space="0" w:color="auto"/>
        <w:left w:val="none" w:sz="0" w:space="0" w:color="auto"/>
        <w:bottom w:val="none" w:sz="0" w:space="0" w:color="auto"/>
        <w:right w:val="none" w:sz="0" w:space="0" w:color="auto"/>
      </w:divBdr>
    </w:div>
    <w:div w:id="311907784">
      <w:bodyDiv w:val="1"/>
      <w:marLeft w:val="0"/>
      <w:marRight w:val="0"/>
      <w:marTop w:val="0"/>
      <w:marBottom w:val="0"/>
      <w:divBdr>
        <w:top w:val="none" w:sz="0" w:space="0" w:color="auto"/>
        <w:left w:val="none" w:sz="0" w:space="0" w:color="auto"/>
        <w:bottom w:val="none" w:sz="0" w:space="0" w:color="auto"/>
        <w:right w:val="none" w:sz="0" w:space="0" w:color="auto"/>
      </w:divBdr>
    </w:div>
    <w:div w:id="313098231">
      <w:bodyDiv w:val="1"/>
      <w:marLeft w:val="0"/>
      <w:marRight w:val="0"/>
      <w:marTop w:val="0"/>
      <w:marBottom w:val="0"/>
      <w:divBdr>
        <w:top w:val="none" w:sz="0" w:space="0" w:color="auto"/>
        <w:left w:val="none" w:sz="0" w:space="0" w:color="auto"/>
        <w:bottom w:val="none" w:sz="0" w:space="0" w:color="auto"/>
        <w:right w:val="none" w:sz="0" w:space="0" w:color="auto"/>
      </w:divBdr>
    </w:div>
    <w:div w:id="322590242">
      <w:bodyDiv w:val="1"/>
      <w:marLeft w:val="0"/>
      <w:marRight w:val="0"/>
      <w:marTop w:val="0"/>
      <w:marBottom w:val="0"/>
      <w:divBdr>
        <w:top w:val="none" w:sz="0" w:space="0" w:color="auto"/>
        <w:left w:val="none" w:sz="0" w:space="0" w:color="auto"/>
        <w:bottom w:val="none" w:sz="0" w:space="0" w:color="auto"/>
        <w:right w:val="none" w:sz="0" w:space="0" w:color="auto"/>
      </w:divBdr>
    </w:div>
    <w:div w:id="326177256">
      <w:bodyDiv w:val="1"/>
      <w:marLeft w:val="0"/>
      <w:marRight w:val="0"/>
      <w:marTop w:val="0"/>
      <w:marBottom w:val="0"/>
      <w:divBdr>
        <w:top w:val="none" w:sz="0" w:space="0" w:color="auto"/>
        <w:left w:val="none" w:sz="0" w:space="0" w:color="auto"/>
        <w:bottom w:val="none" w:sz="0" w:space="0" w:color="auto"/>
        <w:right w:val="none" w:sz="0" w:space="0" w:color="auto"/>
      </w:divBdr>
    </w:div>
    <w:div w:id="386999612">
      <w:bodyDiv w:val="1"/>
      <w:marLeft w:val="0"/>
      <w:marRight w:val="0"/>
      <w:marTop w:val="0"/>
      <w:marBottom w:val="0"/>
      <w:divBdr>
        <w:top w:val="none" w:sz="0" w:space="0" w:color="auto"/>
        <w:left w:val="none" w:sz="0" w:space="0" w:color="auto"/>
        <w:bottom w:val="none" w:sz="0" w:space="0" w:color="auto"/>
        <w:right w:val="none" w:sz="0" w:space="0" w:color="auto"/>
      </w:divBdr>
    </w:div>
    <w:div w:id="396586796">
      <w:bodyDiv w:val="1"/>
      <w:marLeft w:val="0"/>
      <w:marRight w:val="0"/>
      <w:marTop w:val="0"/>
      <w:marBottom w:val="0"/>
      <w:divBdr>
        <w:top w:val="none" w:sz="0" w:space="0" w:color="auto"/>
        <w:left w:val="none" w:sz="0" w:space="0" w:color="auto"/>
        <w:bottom w:val="none" w:sz="0" w:space="0" w:color="auto"/>
        <w:right w:val="none" w:sz="0" w:space="0" w:color="auto"/>
      </w:divBdr>
    </w:div>
    <w:div w:id="414131266">
      <w:bodyDiv w:val="1"/>
      <w:marLeft w:val="0"/>
      <w:marRight w:val="0"/>
      <w:marTop w:val="0"/>
      <w:marBottom w:val="0"/>
      <w:divBdr>
        <w:top w:val="none" w:sz="0" w:space="0" w:color="auto"/>
        <w:left w:val="none" w:sz="0" w:space="0" w:color="auto"/>
        <w:bottom w:val="none" w:sz="0" w:space="0" w:color="auto"/>
        <w:right w:val="none" w:sz="0" w:space="0" w:color="auto"/>
      </w:divBdr>
    </w:div>
    <w:div w:id="420952876">
      <w:bodyDiv w:val="1"/>
      <w:marLeft w:val="0"/>
      <w:marRight w:val="0"/>
      <w:marTop w:val="0"/>
      <w:marBottom w:val="0"/>
      <w:divBdr>
        <w:top w:val="none" w:sz="0" w:space="0" w:color="auto"/>
        <w:left w:val="none" w:sz="0" w:space="0" w:color="auto"/>
        <w:bottom w:val="none" w:sz="0" w:space="0" w:color="auto"/>
        <w:right w:val="none" w:sz="0" w:space="0" w:color="auto"/>
      </w:divBdr>
    </w:div>
    <w:div w:id="427239035">
      <w:bodyDiv w:val="1"/>
      <w:marLeft w:val="0"/>
      <w:marRight w:val="0"/>
      <w:marTop w:val="0"/>
      <w:marBottom w:val="0"/>
      <w:divBdr>
        <w:top w:val="none" w:sz="0" w:space="0" w:color="auto"/>
        <w:left w:val="none" w:sz="0" w:space="0" w:color="auto"/>
        <w:bottom w:val="none" w:sz="0" w:space="0" w:color="auto"/>
        <w:right w:val="none" w:sz="0" w:space="0" w:color="auto"/>
      </w:divBdr>
    </w:div>
    <w:div w:id="445537964">
      <w:bodyDiv w:val="1"/>
      <w:marLeft w:val="0"/>
      <w:marRight w:val="0"/>
      <w:marTop w:val="0"/>
      <w:marBottom w:val="0"/>
      <w:divBdr>
        <w:top w:val="none" w:sz="0" w:space="0" w:color="auto"/>
        <w:left w:val="none" w:sz="0" w:space="0" w:color="auto"/>
        <w:bottom w:val="none" w:sz="0" w:space="0" w:color="auto"/>
        <w:right w:val="none" w:sz="0" w:space="0" w:color="auto"/>
      </w:divBdr>
    </w:div>
    <w:div w:id="452672347">
      <w:bodyDiv w:val="1"/>
      <w:marLeft w:val="0"/>
      <w:marRight w:val="0"/>
      <w:marTop w:val="0"/>
      <w:marBottom w:val="0"/>
      <w:divBdr>
        <w:top w:val="none" w:sz="0" w:space="0" w:color="auto"/>
        <w:left w:val="none" w:sz="0" w:space="0" w:color="auto"/>
        <w:bottom w:val="none" w:sz="0" w:space="0" w:color="auto"/>
        <w:right w:val="none" w:sz="0" w:space="0" w:color="auto"/>
      </w:divBdr>
    </w:div>
    <w:div w:id="462965334">
      <w:bodyDiv w:val="1"/>
      <w:marLeft w:val="0"/>
      <w:marRight w:val="0"/>
      <w:marTop w:val="0"/>
      <w:marBottom w:val="0"/>
      <w:divBdr>
        <w:top w:val="none" w:sz="0" w:space="0" w:color="auto"/>
        <w:left w:val="none" w:sz="0" w:space="0" w:color="auto"/>
        <w:bottom w:val="none" w:sz="0" w:space="0" w:color="auto"/>
        <w:right w:val="none" w:sz="0" w:space="0" w:color="auto"/>
      </w:divBdr>
    </w:div>
    <w:div w:id="463816516">
      <w:bodyDiv w:val="1"/>
      <w:marLeft w:val="0"/>
      <w:marRight w:val="0"/>
      <w:marTop w:val="0"/>
      <w:marBottom w:val="0"/>
      <w:divBdr>
        <w:top w:val="none" w:sz="0" w:space="0" w:color="auto"/>
        <w:left w:val="none" w:sz="0" w:space="0" w:color="auto"/>
        <w:bottom w:val="none" w:sz="0" w:space="0" w:color="auto"/>
        <w:right w:val="none" w:sz="0" w:space="0" w:color="auto"/>
      </w:divBdr>
    </w:div>
    <w:div w:id="466314997">
      <w:bodyDiv w:val="1"/>
      <w:marLeft w:val="0"/>
      <w:marRight w:val="0"/>
      <w:marTop w:val="0"/>
      <w:marBottom w:val="0"/>
      <w:divBdr>
        <w:top w:val="none" w:sz="0" w:space="0" w:color="auto"/>
        <w:left w:val="none" w:sz="0" w:space="0" w:color="auto"/>
        <w:bottom w:val="none" w:sz="0" w:space="0" w:color="auto"/>
        <w:right w:val="none" w:sz="0" w:space="0" w:color="auto"/>
      </w:divBdr>
    </w:div>
    <w:div w:id="494146283">
      <w:bodyDiv w:val="1"/>
      <w:marLeft w:val="0"/>
      <w:marRight w:val="0"/>
      <w:marTop w:val="0"/>
      <w:marBottom w:val="0"/>
      <w:divBdr>
        <w:top w:val="none" w:sz="0" w:space="0" w:color="auto"/>
        <w:left w:val="none" w:sz="0" w:space="0" w:color="auto"/>
        <w:bottom w:val="none" w:sz="0" w:space="0" w:color="auto"/>
        <w:right w:val="none" w:sz="0" w:space="0" w:color="auto"/>
      </w:divBdr>
    </w:div>
    <w:div w:id="521214259">
      <w:bodyDiv w:val="1"/>
      <w:marLeft w:val="0"/>
      <w:marRight w:val="0"/>
      <w:marTop w:val="0"/>
      <w:marBottom w:val="0"/>
      <w:divBdr>
        <w:top w:val="none" w:sz="0" w:space="0" w:color="auto"/>
        <w:left w:val="none" w:sz="0" w:space="0" w:color="auto"/>
        <w:bottom w:val="none" w:sz="0" w:space="0" w:color="auto"/>
        <w:right w:val="none" w:sz="0" w:space="0" w:color="auto"/>
      </w:divBdr>
    </w:div>
    <w:div w:id="550196514">
      <w:bodyDiv w:val="1"/>
      <w:marLeft w:val="0"/>
      <w:marRight w:val="0"/>
      <w:marTop w:val="0"/>
      <w:marBottom w:val="0"/>
      <w:divBdr>
        <w:top w:val="none" w:sz="0" w:space="0" w:color="auto"/>
        <w:left w:val="none" w:sz="0" w:space="0" w:color="auto"/>
        <w:bottom w:val="none" w:sz="0" w:space="0" w:color="auto"/>
        <w:right w:val="none" w:sz="0" w:space="0" w:color="auto"/>
      </w:divBdr>
    </w:div>
    <w:div w:id="591398326">
      <w:bodyDiv w:val="1"/>
      <w:marLeft w:val="0"/>
      <w:marRight w:val="0"/>
      <w:marTop w:val="0"/>
      <w:marBottom w:val="0"/>
      <w:divBdr>
        <w:top w:val="none" w:sz="0" w:space="0" w:color="auto"/>
        <w:left w:val="none" w:sz="0" w:space="0" w:color="auto"/>
        <w:bottom w:val="none" w:sz="0" w:space="0" w:color="auto"/>
        <w:right w:val="none" w:sz="0" w:space="0" w:color="auto"/>
      </w:divBdr>
    </w:div>
    <w:div w:id="594284341">
      <w:bodyDiv w:val="1"/>
      <w:marLeft w:val="0"/>
      <w:marRight w:val="0"/>
      <w:marTop w:val="0"/>
      <w:marBottom w:val="0"/>
      <w:divBdr>
        <w:top w:val="none" w:sz="0" w:space="0" w:color="auto"/>
        <w:left w:val="none" w:sz="0" w:space="0" w:color="auto"/>
        <w:bottom w:val="none" w:sz="0" w:space="0" w:color="auto"/>
        <w:right w:val="none" w:sz="0" w:space="0" w:color="auto"/>
      </w:divBdr>
    </w:div>
    <w:div w:id="618148456">
      <w:bodyDiv w:val="1"/>
      <w:marLeft w:val="0"/>
      <w:marRight w:val="0"/>
      <w:marTop w:val="0"/>
      <w:marBottom w:val="0"/>
      <w:divBdr>
        <w:top w:val="none" w:sz="0" w:space="0" w:color="auto"/>
        <w:left w:val="none" w:sz="0" w:space="0" w:color="auto"/>
        <w:bottom w:val="none" w:sz="0" w:space="0" w:color="auto"/>
        <w:right w:val="none" w:sz="0" w:space="0" w:color="auto"/>
      </w:divBdr>
    </w:div>
    <w:div w:id="639311987">
      <w:bodyDiv w:val="1"/>
      <w:marLeft w:val="0"/>
      <w:marRight w:val="0"/>
      <w:marTop w:val="0"/>
      <w:marBottom w:val="0"/>
      <w:divBdr>
        <w:top w:val="none" w:sz="0" w:space="0" w:color="auto"/>
        <w:left w:val="none" w:sz="0" w:space="0" w:color="auto"/>
        <w:bottom w:val="none" w:sz="0" w:space="0" w:color="auto"/>
        <w:right w:val="none" w:sz="0" w:space="0" w:color="auto"/>
      </w:divBdr>
    </w:div>
    <w:div w:id="654842157">
      <w:bodyDiv w:val="1"/>
      <w:marLeft w:val="0"/>
      <w:marRight w:val="0"/>
      <w:marTop w:val="0"/>
      <w:marBottom w:val="0"/>
      <w:divBdr>
        <w:top w:val="none" w:sz="0" w:space="0" w:color="auto"/>
        <w:left w:val="none" w:sz="0" w:space="0" w:color="auto"/>
        <w:bottom w:val="none" w:sz="0" w:space="0" w:color="auto"/>
        <w:right w:val="none" w:sz="0" w:space="0" w:color="auto"/>
      </w:divBdr>
    </w:div>
    <w:div w:id="660696416">
      <w:bodyDiv w:val="1"/>
      <w:marLeft w:val="0"/>
      <w:marRight w:val="0"/>
      <w:marTop w:val="0"/>
      <w:marBottom w:val="0"/>
      <w:divBdr>
        <w:top w:val="none" w:sz="0" w:space="0" w:color="auto"/>
        <w:left w:val="none" w:sz="0" w:space="0" w:color="auto"/>
        <w:bottom w:val="none" w:sz="0" w:space="0" w:color="auto"/>
        <w:right w:val="none" w:sz="0" w:space="0" w:color="auto"/>
      </w:divBdr>
    </w:div>
    <w:div w:id="664935080">
      <w:bodyDiv w:val="1"/>
      <w:marLeft w:val="0"/>
      <w:marRight w:val="0"/>
      <w:marTop w:val="0"/>
      <w:marBottom w:val="0"/>
      <w:divBdr>
        <w:top w:val="none" w:sz="0" w:space="0" w:color="auto"/>
        <w:left w:val="none" w:sz="0" w:space="0" w:color="auto"/>
        <w:bottom w:val="none" w:sz="0" w:space="0" w:color="auto"/>
        <w:right w:val="none" w:sz="0" w:space="0" w:color="auto"/>
      </w:divBdr>
    </w:div>
    <w:div w:id="665985340">
      <w:bodyDiv w:val="1"/>
      <w:marLeft w:val="0"/>
      <w:marRight w:val="0"/>
      <w:marTop w:val="0"/>
      <w:marBottom w:val="0"/>
      <w:divBdr>
        <w:top w:val="none" w:sz="0" w:space="0" w:color="auto"/>
        <w:left w:val="none" w:sz="0" w:space="0" w:color="auto"/>
        <w:bottom w:val="none" w:sz="0" w:space="0" w:color="auto"/>
        <w:right w:val="none" w:sz="0" w:space="0" w:color="auto"/>
      </w:divBdr>
    </w:div>
    <w:div w:id="669673616">
      <w:bodyDiv w:val="1"/>
      <w:marLeft w:val="0"/>
      <w:marRight w:val="0"/>
      <w:marTop w:val="0"/>
      <w:marBottom w:val="0"/>
      <w:divBdr>
        <w:top w:val="none" w:sz="0" w:space="0" w:color="auto"/>
        <w:left w:val="none" w:sz="0" w:space="0" w:color="auto"/>
        <w:bottom w:val="none" w:sz="0" w:space="0" w:color="auto"/>
        <w:right w:val="none" w:sz="0" w:space="0" w:color="auto"/>
      </w:divBdr>
    </w:div>
    <w:div w:id="678002605">
      <w:bodyDiv w:val="1"/>
      <w:marLeft w:val="0"/>
      <w:marRight w:val="0"/>
      <w:marTop w:val="0"/>
      <w:marBottom w:val="0"/>
      <w:divBdr>
        <w:top w:val="none" w:sz="0" w:space="0" w:color="auto"/>
        <w:left w:val="none" w:sz="0" w:space="0" w:color="auto"/>
        <w:bottom w:val="none" w:sz="0" w:space="0" w:color="auto"/>
        <w:right w:val="none" w:sz="0" w:space="0" w:color="auto"/>
      </w:divBdr>
    </w:div>
    <w:div w:id="700084248">
      <w:bodyDiv w:val="1"/>
      <w:marLeft w:val="0"/>
      <w:marRight w:val="0"/>
      <w:marTop w:val="0"/>
      <w:marBottom w:val="0"/>
      <w:divBdr>
        <w:top w:val="none" w:sz="0" w:space="0" w:color="auto"/>
        <w:left w:val="none" w:sz="0" w:space="0" w:color="auto"/>
        <w:bottom w:val="none" w:sz="0" w:space="0" w:color="auto"/>
        <w:right w:val="none" w:sz="0" w:space="0" w:color="auto"/>
      </w:divBdr>
    </w:div>
    <w:div w:id="711538694">
      <w:bodyDiv w:val="1"/>
      <w:marLeft w:val="0"/>
      <w:marRight w:val="0"/>
      <w:marTop w:val="0"/>
      <w:marBottom w:val="0"/>
      <w:divBdr>
        <w:top w:val="none" w:sz="0" w:space="0" w:color="auto"/>
        <w:left w:val="none" w:sz="0" w:space="0" w:color="auto"/>
        <w:bottom w:val="none" w:sz="0" w:space="0" w:color="auto"/>
        <w:right w:val="none" w:sz="0" w:space="0" w:color="auto"/>
      </w:divBdr>
    </w:div>
    <w:div w:id="715662022">
      <w:bodyDiv w:val="1"/>
      <w:marLeft w:val="0"/>
      <w:marRight w:val="0"/>
      <w:marTop w:val="0"/>
      <w:marBottom w:val="0"/>
      <w:divBdr>
        <w:top w:val="none" w:sz="0" w:space="0" w:color="auto"/>
        <w:left w:val="none" w:sz="0" w:space="0" w:color="auto"/>
        <w:bottom w:val="none" w:sz="0" w:space="0" w:color="auto"/>
        <w:right w:val="none" w:sz="0" w:space="0" w:color="auto"/>
      </w:divBdr>
    </w:div>
    <w:div w:id="727803392">
      <w:bodyDiv w:val="1"/>
      <w:marLeft w:val="0"/>
      <w:marRight w:val="0"/>
      <w:marTop w:val="0"/>
      <w:marBottom w:val="0"/>
      <w:divBdr>
        <w:top w:val="none" w:sz="0" w:space="0" w:color="auto"/>
        <w:left w:val="none" w:sz="0" w:space="0" w:color="auto"/>
        <w:bottom w:val="none" w:sz="0" w:space="0" w:color="auto"/>
        <w:right w:val="none" w:sz="0" w:space="0" w:color="auto"/>
      </w:divBdr>
    </w:div>
    <w:div w:id="748500431">
      <w:bodyDiv w:val="1"/>
      <w:marLeft w:val="0"/>
      <w:marRight w:val="0"/>
      <w:marTop w:val="0"/>
      <w:marBottom w:val="0"/>
      <w:divBdr>
        <w:top w:val="none" w:sz="0" w:space="0" w:color="auto"/>
        <w:left w:val="none" w:sz="0" w:space="0" w:color="auto"/>
        <w:bottom w:val="none" w:sz="0" w:space="0" w:color="auto"/>
        <w:right w:val="none" w:sz="0" w:space="0" w:color="auto"/>
      </w:divBdr>
    </w:div>
    <w:div w:id="777716992">
      <w:bodyDiv w:val="1"/>
      <w:marLeft w:val="0"/>
      <w:marRight w:val="0"/>
      <w:marTop w:val="0"/>
      <w:marBottom w:val="0"/>
      <w:divBdr>
        <w:top w:val="none" w:sz="0" w:space="0" w:color="auto"/>
        <w:left w:val="none" w:sz="0" w:space="0" w:color="auto"/>
        <w:bottom w:val="none" w:sz="0" w:space="0" w:color="auto"/>
        <w:right w:val="none" w:sz="0" w:space="0" w:color="auto"/>
      </w:divBdr>
    </w:div>
    <w:div w:id="789470264">
      <w:bodyDiv w:val="1"/>
      <w:marLeft w:val="0"/>
      <w:marRight w:val="0"/>
      <w:marTop w:val="0"/>
      <w:marBottom w:val="0"/>
      <w:divBdr>
        <w:top w:val="none" w:sz="0" w:space="0" w:color="auto"/>
        <w:left w:val="none" w:sz="0" w:space="0" w:color="auto"/>
        <w:bottom w:val="none" w:sz="0" w:space="0" w:color="auto"/>
        <w:right w:val="none" w:sz="0" w:space="0" w:color="auto"/>
      </w:divBdr>
    </w:div>
    <w:div w:id="801270355">
      <w:bodyDiv w:val="1"/>
      <w:marLeft w:val="0"/>
      <w:marRight w:val="0"/>
      <w:marTop w:val="0"/>
      <w:marBottom w:val="0"/>
      <w:divBdr>
        <w:top w:val="none" w:sz="0" w:space="0" w:color="auto"/>
        <w:left w:val="none" w:sz="0" w:space="0" w:color="auto"/>
        <w:bottom w:val="none" w:sz="0" w:space="0" w:color="auto"/>
        <w:right w:val="none" w:sz="0" w:space="0" w:color="auto"/>
      </w:divBdr>
    </w:div>
    <w:div w:id="806438611">
      <w:bodyDiv w:val="1"/>
      <w:marLeft w:val="0"/>
      <w:marRight w:val="0"/>
      <w:marTop w:val="0"/>
      <w:marBottom w:val="0"/>
      <w:divBdr>
        <w:top w:val="none" w:sz="0" w:space="0" w:color="auto"/>
        <w:left w:val="none" w:sz="0" w:space="0" w:color="auto"/>
        <w:bottom w:val="none" w:sz="0" w:space="0" w:color="auto"/>
        <w:right w:val="none" w:sz="0" w:space="0" w:color="auto"/>
      </w:divBdr>
    </w:div>
    <w:div w:id="828247438">
      <w:bodyDiv w:val="1"/>
      <w:marLeft w:val="0"/>
      <w:marRight w:val="0"/>
      <w:marTop w:val="0"/>
      <w:marBottom w:val="0"/>
      <w:divBdr>
        <w:top w:val="none" w:sz="0" w:space="0" w:color="auto"/>
        <w:left w:val="none" w:sz="0" w:space="0" w:color="auto"/>
        <w:bottom w:val="none" w:sz="0" w:space="0" w:color="auto"/>
        <w:right w:val="none" w:sz="0" w:space="0" w:color="auto"/>
      </w:divBdr>
    </w:div>
    <w:div w:id="843860842">
      <w:bodyDiv w:val="1"/>
      <w:marLeft w:val="0"/>
      <w:marRight w:val="0"/>
      <w:marTop w:val="0"/>
      <w:marBottom w:val="0"/>
      <w:divBdr>
        <w:top w:val="none" w:sz="0" w:space="0" w:color="auto"/>
        <w:left w:val="none" w:sz="0" w:space="0" w:color="auto"/>
        <w:bottom w:val="none" w:sz="0" w:space="0" w:color="auto"/>
        <w:right w:val="none" w:sz="0" w:space="0" w:color="auto"/>
      </w:divBdr>
    </w:div>
    <w:div w:id="870385571">
      <w:bodyDiv w:val="1"/>
      <w:marLeft w:val="0"/>
      <w:marRight w:val="0"/>
      <w:marTop w:val="0"/>
      <w:marBottom w:val="0"/>
      <w:divBdr>
        <w:top w:val="none" w:sz="0" w:space="0" w:color="auto"/>
        <w:left w:val="none" w:sz="0" w:space="0" w:color="auto"/>
        <w:bottom w:val="none" w:sz="0" w:space="0" w:color="auto"/>
        <w:right w:val="none" w:sz="0" w:space="0" w:color="auto"/>
      </w:divBdr>
    </w:div>
    <w:div w:id="879560757">
      <w:bodyDiv w:val="1"/>
      <w:marLeft w:val="0"/>
      <w:marRight w:val="0"/>
      <w:marTop w:val="0"/>
      <w:marBottom w:val="0"/>
      <w:divBdr>
        <w:top w:val="none" w:sz="0" w:space="0" w:color="auto"/>
        <w:left w:val="none" w:sz="0" w:space="0" w:color="auto"/>
        <w:bottom w:val="none" w:sz="0" w:space="0" w:color="auto"/>
        <w:right w:val="none" w:sz="0" w:space="0" w:color="auto"/>
      </w:divBdr>
    </w:div>
    <w:div w:id="883635990">
      <w:bodyDiv w:val="1"/>
      <w:marLeft w:val="0"/>
      <w:marRight w:val="0"/>
      <w:marTop w:val="0"/>
      <w:marBottom w:val="0"/>
      <w:divBdr>
        <w:top w:val="none" w:sz="0" w:space="0" w:color="auto"/>
        <w:left w:val="none" w:sz="0" w:space="0" w:color="auto"/>
        <w:bottom w:val="none" w:sz="0" w:space="0" w:color="auto"/>
        <w:right w:val="none" w:sz="0" w:space="0" w:color="auto"/>
      </w:divBdr>
    </w:div>
    <w:div w:id="886406307">
      <w:bodyDiv w:val="1"/>
      <w:marLeft w:val="0"/>
      <w:marRight w:val="0"/>
      <w:marTop w:val="0"/>
      <w:marBottom w:val="0"/>
      <w:divBdr>
        <w:top w:val="none" w:sz="0" w:space="0" w:color="auto"/>
        <w:left w:val="none" w:sz="0" w:space="0" w:color="auto"/>
        <w:bottom w:val="none" w:sz="0" w:space="0" w:color="auto"/>
        <w:right w:val="none" w:sz="0" w:space="0" w:color="auto"/>
      </w:divBdr>
    </w:div>
    <w:div w:id="890387345">
      <w:bodyDiv w:val="1"/>
      <w:marLeft w:val="0"/>
      <w:marRight w:val="0"/>
      <w:marTop w:val="0"/>
      <w:marBottom w:val="0"/>
      <w:divBdr>
        <w:top w:val="none" w:sz="0" w:space="0" w:color="auto"/>
        <w:left w:val="none" w:sz="0" w:space="0" w:color="auto"/>
        <w:bottom w:val="none" w:sz="0" w:space="0" w:color="auto"/>
        <w:right w:val="none" w:sz="0" w:space="0" w:color="auto"/>
      </w:divBdr>
    </w:div>
    <w:div w:id="892429401">
      <w:bodyDiv w:val="1"/>
      <w:marLeft w:val="0"/>
      <w:marRight w:val="0"/>
      <w:marTop w:val="0"/>
      <w:marBottom w:val="0"/>
      <w:divBdr>
        <w:top w:val="none" w:sz="0" w:space="0" w:color="auto"/>
        <w:left w:val="none" w:sz="0" w:space="0" w:color="auto"/>
        <w:bottom w:val="none" w:sz="0" w:space="0" w:color="auto"/>
        <w:right w:val="none" w:sz="0" w:space="0" w:color="auto"/>
      </w:divBdr>
    </w:div>
    <w:div w:id="903032960">
      <w:bodyDiv w:val="1"/>
      <w:marLeft w:val="0"/>
      <w:marRight w:val="0"/>
      <w:marTop w:val="0"/>
      <w:marBottom w:val="0"/>
      <w:divBdr>
        <w:top w:val="none" w:sz="0" w:space="0" w:color="auto"/>
        <w:left w:val="none" w:sz="0" w:space="0" w:color="auto"/>
        <w:bottom w:val="none" w:sz="0" w:space="0" w:color="auto"/>
        <w:right w:val="none" w:sz="0" w:space="0" w:color="auto"/>
      </w:divBdr>
    </w:div>
    <w:div w:id="906263673">
      <w:bodyDiv w:val="1"/>
      <w:marLeft w:val="0"/>
      <w:marRight w:val="0"/>
      <w:marTop w:val="0"/>
      <w:marBottom w:val="0"/>
      <w:divBdr>
        <w:top w:val="none" w:sz="0" w:space="0" w:color="auto"/>
        <w:left w:val="none" w:sz="0" w:space="0" w:color="auto"/>
        <w:bottom w:val="none" w:sz="0" w:space="0" w:color="auto"/>
        <w:right w:val="none" w:sz="0" w:space="0" w:color="auto"/>
      </w:divBdr>
    </w:div>
    <w:div w:id="916865073">
      <w:bodyDiv w:val="1"/>
      <w:marLeft w:val="0"/>
      <w:marRight w:val="0"/>
      <w:marTop w:val="0"/>
      <w:marBottom w:val="0"/>
      <w:divBdr>
        <w:top w:val="none" w:sz="0" w:space="0" w:color="auto"/>
        <w:left w:val="none" w:sz="0" w:space="0" w:color="auto"/>
        <w:bottom w:val="none" w:sz="0" w:space="0" w:color="auto"/>
        <w:right w:val="none" w:sz="0" w:space="0" w:color="auto"/>
      </w:divBdr>
    </w:div>
    <w:div w:id="918901097">
      <w:bodyDiv w:val="1"/>
      <w:marLeft w:val="0"/>
      <w:marRight w:val="0"/>
      <w:marTop w:val="0"/>
      <w:marBottom w:val="0"/>
      <w:divBdr>
        <w:top w:val="none" w:sz="0" w:space="0" w:color="auto"/>
        <w:left w:val="none" w:sz="0" w:space="0" w:color="auto"/>
        <w:bottom w:val="none" w:sz="0" w:space="0" w:color="auto"/>
        <w:right w:val="none" w:sz="0" w:space="0" w:color="auto"/>
      </w:divBdr>
    </w:div>
    <w:div w:id="922956890">
      <w:bodyDiv w:val="1"/>
      <w:marLeft w:val="0"/>
      <w:marRight w:val="0"/>
      <w:marTop w:val="0"/>
      <w:marBottom w:val="0"/>
      <w:divBdr>
        <w:top w:val="none" w:sz="0" w:space="0" w:color="auto"/>
        <w:left w:val="none" w:sz="0" w:space="0" w:color="auto"/>
        <w:bottom w:val="none" w:sz="0" w:space="0" w:color="auto"/>
        <w:right w:val="none" w:sz="0" w:space="0" w:color="auto"/>
      </w:divBdr>
    </w:div>
    <w:div w:id="924876333">
      <w:bodyDiv w:val="1"/>
      <w:marLeft w:val="0"/>
      <w:marRight w:val="0"/>
      <w:marTop w:val="0"/>
      <w:marBottom w:val="0"/>
      <w:divBdr>
        <w:top w:val="none" w:sz="0" w:space="0" w:color="auto"/>
        <w:left w:val="none" w:sz="0" w:space="0" w:color="auto"/>
        <w:bottom w:val="none" w:sz="0" w:space="0" w:color="auto"/>
        <w:right w:val="none" w:sz="0" w:space="0" w:color="auto"/>
      </w:divBdr>
    </w:div>
    <w:div w:id="939531404">
      <w:bodyDiv w:val="1"/>
      <w:marLeft w:val="0"/>
      <w:marRight w:val="0"/>
      <w:marTop w:val="0"/>
      <w:marBottom w:val="0"/>
      <w:divBdr>
        <w:top w:val="none" w:sz="0" w:space="0" w:color="auto"/>
        <w:left w:val="none" w:sz="0" w:space="0" w:color="auto"/>
        <w:bottom w:val="none" w:sz="0" w:space="0" w:color="auto"/>
        <w:right w:val="none" w:sz="0" w:space="0" w:color="auto"/>
      </w:divBdr>
    </w:div>
    <w:div w:id="958220609">
      <w:bodyDiv w:val="1"/>
      <w:marLeft w:val="0"/>
      <w:marRight w:val="0"/>
      <w:marTop w:val="0"/>
      <w:marBottom w:val="0"/>
      <w:divBdr>
        <w:top w:val="none" w:sz="0" w:space="0" w:color="auto"/>
        <w:left w:val="none" w:sz="0" w:space="0" w:color="auto"/>
        <w:bottom w:val="none" w:sz="0" w:space="0" w:color="auto"/>
        <w:right w:val="none" w:sz="0" w:space="0" w:color="auto"/>
      </w:divBdr>
    </w:div>
    <w:div w:id="969017121">
      <w:bodyDiv w:val="1"/>
      <w:marLeft w:val="0"/>
      <w:marRight w:val="0"/>
      <w:marTop w:val="0"/>
      <w:marBottom w:val="0"/>
      <w:divBdr>
        <w:top w:val="none" w:sz="0" w:space="0" w:color="auto"/>
        <w:left w:val="none" w:sz="0" w:space="0" w:color="auto"/>
        <w:bottom w:val="none" w:sz="0" w:space="0" w:color="auto"/>
        <w:right w:val="none" w:sz="0" w:space="0" w:color="auto"/>
      </w:divBdr>
    </w:div>
    <w:div w:id="970402306">
      <w:bodyDiv w:val="1"/>
      <w:marLeft w:val="0"/>
      <w:marRight w:val="0"/>
      <w:marTop w:val="0"/>
      <w:marBottom w:val="0"/>
      <w:divBdr>
        <w:top w:val="none" w:sz="0" w:space="0" w:color="auto"/>
        <w:left w:val="none" w:sz="0" w:space="0" w:color="auto"/>
        <w:bottom w:val="none" w:sz="0" w:space="0" w:color="auto"/>
        <w:right w:val="none" w:sz="0" w:space="0" w:color="auto"/>
      </w:divBdr>
      <w:divsChild>
        <w:div w:id="1869904903">
          <w:marLeft w:val="0"/>
          <w:marRight w:val="0"/>
          <w:marTop w:val="0"/>
          <w:marBottom w:val="0"/>
          <w:divBdr>
            <w:top w:val="none" w:sz="0" w:space="0" w:color="auto"/>
            <w:left w:val="none" w:sz="0" w:space="0" w:color="auto"/>
            <w:bottom w:val="none" w:sz="0" w:space="0" w:color="auto"/>
            <w:right w:val="none" w:sz="0" w:space="0" w:color="auto"/>
          </w:divBdr>
        </w:div>
      </w:divsChild>
    </w:div>
    <w:div w:id="986713815">
      <w:bodyDiv w:val="1"/>
      <w:marLeft w:val="0"/>
      <w:marRight w:val="0"/>
      <w:marTop w:val="0"/>
      <w:marBottom w:val="0"/>
      <w:divBdr>
        <w:top w:val="none" w:sz="0" w:space="0" w:color="auto"/>
        <w:left w:val="none" w:sz="0" w:space="0" w:color="auto"/>
        <w:bottom w:val="none" w:sz="0" w:space="0" w:color="auto"/>
        <w:right w:val="none" w:sz="0" w:space="0" w:color="auto"/>
      </w:divBdr>
    </w:div>
    <w:div w:id="1019161441">
      <w:bodyDiv w:val="1"/>
      <w:marLeft w:val="0"/>
      <w:marRight w:val="0"/>
      <w:marTop w:val="0"/>
      <w:marBottom w:val="0"/>
      <w:divBdr>
        <w:top w:val="none" w:sz="0" w:space="0" w:color="auto"/>
        <w:left w:val="none" w:sz="0" w:space="0" w:color="auto"/>
        <w:bottom w:val="none" w:sz="0" w:space="0" w:color="auto"/>
        <w:right w:val="none" w:sz="0" w:space="0" w:color="auto"/>
      </w:divBdr>
    </w:div>
    <w:div w:id="1076587992">
      <w:bodyDiv w:val="1"/>
      <w:marLeft w:val="0"/>
      <w:marRight w:val="0"/>
      <w:marTop w:val="0"/>
      <w:marBottom w:val="0"/>
      <w:divBdr>
        <w:top w:val="none" w:sz="0" w:space="0" w:color="auto"/>
        <w:left w:val="none" w:sz="0" w:space="0" w:color="auto"/>
        <w:bottom w:val="none" w:sz="0" w:space="0" w:color="auto"/>
        <w:right w:val="none" w:sz="0" w:space="0" w:color="auto"/>
      </w:divBdr>
    </w:div>
    <w:div w:id="1081635629">
      <w:bodyDiv w:val="1"/>
      <w:marLeft w:val="0"/>
      <w:marRight w:val="0"/>
      <w:marTop w:val="0"/>
      <w:marBottom w:val="0"/>
      <w:divBdr>
        <w:top w:val="none" w:sz="0" w:space="0" w:color="auto"/>
        <w:left w:val="none" w:sz="0" w:space="0" w:color="auto"/>
        <w:bottom w:val="none" w:sz="0" w:space="0" w:color="auto"/>
        <w:right w:val="none" w:sz="0" w:space="0" w:color="auto"/>
      </w:divBdr>
      <w:divsChild>
        <w:div w:id="1426539837">
          <w:marLeft w:val="0"/>
          <w:marRight w:val="0"/>
          <w:marTop w:val="0"/>
          <w:marBottom w:val="0"/>
          <w:divBdr>
            <w:top w:val="none" w:sz="0" w:space="0" w:color="auto"/>
            <w:left w:val="none" w:sz="0" w:space="0" w:color="auto"/>
            <w:bottom w:val="none" w:sz="0" w:space="0" w:color="auto"/>
            <w:right w:val="none" w:sz="0" w:space="0" w:color="auto"/>
          </w:divBdr>
        </w:div>
      </w:divsChild>
    </w:div>
    <w:div w:id="1097948657">
      <w:bodyDiv w:val="1"/>
      <w:marLeft w:val="0"/>
      <w:marRight w:val="0"/>
      <w:marTop w:val="0"/>
      <w:marBottom w:val="0"/>
      <w:divBdr>
        <w:top w:val="none" w:sz="0" w:space="0" w:color="auto"/>
        <w:left w:val="none" w:sz="0" w:space="0" w:color="auto"/>
        <w:bottom w:val="none" w:sz="0" w:space="0" w:color="auto"/>
        <w:right w:val="none" w:sz="0" w:space="0" w:color="auto"/>
      </w:divBdr>
    </w:div>
    <w:div w:id="1098599105">
      <w:bodyDiv w:val="1"/>
      <w:marLeft w:val="0"/>
      <w:marRight w:val="0"/>
      <w:marTop w:val="0"/>
      <w:marBottom w:val="0"/>
      <w:divBdr>
        <w:top w:val="none" w:sz="0" w:space="0" w:color="auto"/>
        <w:left w:val="none" w:sz="0" w:space="0" w:color="auto"/>
        <w:bottom w:val="none" w:sz="0" w:space="0" w:color="auto"/>
        <w:right w:val="none" w:sz="0" w:space="0" w:color="auto"/>
      </w:divBdr>
      <w:divsChild>
        <w:div w:id="232349780">
          <w:blockQuote w:val="1"/>
          <w:marLeft w:val="600"/>
          <w:marRight w:val="600"/>
          <w:marTop w:val="240"/>
          <w:marBottom w:val="240"/>
          <w:divBdr>
            <w:top w:val="none" w:sz="0" w:space="0" w:color="auto"/>
            <w:left w:val="none" w:sz="0" w:space="0" w:color="auto"/>
            <w:bottom w:val="none" w:sz="0" w:space="0" w:color="auto"/>
            <w:right w:val="none" w:sz="0" w:space="0" w:color="auto"/>
          </w:divBdr>
        </w:div>
      </w:divsChild>
    </w:div>
    <w:div w:id="1119252560">
      <w:bodyDiv w:val="1"/>
      <w:marLeft w:val="0"/>
      <w:marRight w:val="0"/>
      <w:marTop w:val="0"/>
      <w:marBottom w:val="0"/>
      <w:divBdr>
        <w:top w:val="none" w:sz="0" w:space="0" w:color="auto"/>
        <w:left w:val="none" w:sz="0" w:space="0" w:color="auto"/>
        <w:bottom w:val="none" w:sz="0" w:space="0" w:color="auto"/>
        <w:right w:val="none" w:sz="0" w:space="0" w:color="auto"/>
      </w:divBdr>
      <w:divsChild>
        <w:div w:id="18745196">
          <w:marLeft w:val="0"/>
          <w:marRight w:val="0"/>
          <w:marTop w:val="0"/>
          <w:marBottom w:val="0"/>
          <w:divBdr>
            <w:top w:val="none" w:sz="0" w:space="0" w:color="auto"/>
            <w:left w:val="none" w:sz="0" w:space="0" w:color="auto"/>
            <w:bottom w:val="none" w:sz="0" w:space="0" w:color="auto"/>
            <w:right w:val="none" w:sz="0" w:space="0" w:color="auto"/>
          </w:divBdr>
        </w:div>
      </w:divsChild>
    </w:div>
    <w:div w:id="1126660584">
      <w:bodyDiv w:val="1"/>
      <w:marLeft w:val="0"/>
      <w:marRight w:val="0"/>
      <w:marTop w:val="0"/>
      <w:marBottom w:val="0"/>
      <w:divBdr>
        <w:top w:val="none" w:sz="0" w:space="0" w:color="auto"/>
        <w:left w:val="none" w:sz="0" w:space="0" w:color="auto"/>
        <w:bottom w:val="none" w:sz="0" w:space="0" w:color="auto"/>
        <w:right w:val="none" w:sz="0" w:space="0" w:color="auto"/>
      </w:divBdr>
    </w:div>
    <w:div w:id="1136215515">
      <w:bodyDiv w:val="1"/>
      <w:marLeft w:val="0"/>
      <w:marRight w:val="0"/>
      <w:marTop w:val="0"/>
      <w:marBottom w:val="0"/>
      <w:divBdr>
        <w:top w:val="none" w:sz="0" w:space="0" w:color="auto"/>
        <w:left w:val="none" w:sz="0" w:space="0" w:color="auto"/>
        <w:bottom w:val="none" w:sz="0" w:space="0" w:color="auto"/>
        <w:right w:val="none" w:sz="0" w:space="0" w:color="auto"/>
      </w:divBdr>
    </w:div>
    <w:div w:id="1171876733">
      <w:bodyDiv w:val="1"/>
      <w:marLeft w:val="0"/>
      <w:marRight w:val="0"/>
      <w:marTop w:val="0"/>
      <w:marBottom w:val="0"/>
      <w:divBdr>
        <w:top w:val="none" w:sz="0" w:space="0" w:color="auto"/>
        <w:left w:val="none" w:sz="0" w:space="0" w:color="auto"/>
        <w:bottom w:val="none" w:sz="0" w:space="0" w:color="auto"/>
        <w:right w:val="none" w:sz="0" w:space="0" w:color="auto"/>
      </w:divBdr>
    </w:div>
    <w:div w:id="1176964967">
      <w:bodyDiv w:val="1"/>
      <w:marLeft w:val="0"/>
      <w:marRight w:val="0"/>
      <w:marTop w:val="0"/>
      <w:marBottom w:val="0"/>
      <w:divBdr>
        <w:top w:val="none" w:sz="0" w:space="0" w:color="auto"/>
        <w:left w:val="none" w:sz="0" w:space="0" w:color="auto"/>
        <w:bottom w:val="none" w:sz="0" w:space="0" w:color="auto"/>
        <w:right w:val="none" w:sz="0" w:space="0" w:color="auto"/>
      </w:divBdr>
    </w:div>
    <w:div w:id="1179077183">
      <w:bodyDiv w:val="1"/>
      <w:marLeft w:val="0"/>
      <w:marRight w:val="0"/>
      <w:marTop w:val="0"/>
      <w:marBottom w:val="0"/>
      <w:divBdr>
        <w:top w:val="none" w:sz="0" w:space="0" w:color="auto"/>
        <w:left w:val="none" w:sz="0" w:space="0" w:color="auto"/>
        <w:bottom w:val="none" w:sz="0" w:space="0" w:color="auto"/>
        <w:right w:val="none" w:sz="0" w:space="0" w:color="auto"/>
      </w:divBdr>
    </w:div>
    <w:div w:id="1198665329">
      <w:bodyDiv w:val="1"/>
      <w:marLeft w:val="0"/>
      <w:marRight w:val="0"/>
      <w:marTop w:val="0"/>
      <w:marBottom w:val="0"/>
      <w:divBdr>
        <w:top w:val="none" w:sz="0" w:space="0" w:color="auto"/>
        <w:left w:val="none" w:sz="0" w:space="0" w:color="auto"/>
        <w:bottom w:val="none" w:sz="0" w:space="0" w:color="auto"/>
        <w:right w:val="none" w:sz="0" w:space="0" w:color="auto"/>
      </w:divBdr>
      <w:divsChild>
        <w:div w:id="1055649">
          <w:blockQuote w:val="1"/>
          <w:marLeft w:val="600"/>
          <w:marRight w:val="600"/>
          <w:marTop w:val="240"/>
          <w:marBottom w:val="240"/>
          <w:divBdr>
            <w:top w:val="none" w:sz="0" w:space="0" w:color="auto"/>
            <w:left w:val="none" w:sz="0" w:space="0" w:color="auto"/>
            <w:bottom w:val="none" w:sz="0" w:space="0" w:color="auto"/>
            <w:right w:val="none" w:sz="0" w:space="0" w:color="auto"/>
          </w:divBdr>
        </w:div>
      </w:divsChild>
    </w:div>
    <w:div w:id="1227718501">
      <w:bodyDiv w:val="1"/>
      <w:marLeft w:val="0"/>
      <w:marRight w:val="0"/>
      <w:marTop w:val="0"/>
      <w:marBottom w:val="0"/>
      <w:divBdr>
        <w:top w:val="none" w:sz="0" w:space="0" w:color="auto"/>
        <w:left w:val="none" w:sz="0" w:space="0" w:color="auto"/>
        <w:bottom w:val="none" w:sz="0" w:space="0" w:color="auto"/>
        <w:right w:val="none" w:sz="0" w:space="0" w:color="auto"/>
      </w:divBdr>
    </w:div>
    <w:div w:id="1280337479">
      <w:bodyDiv w:val="1"/>
      <w:marLeft w:val="0"/>
      <w:marRight w:val="0"/>
      <w:marTop w:val="0"/>
      <w:marBottom w:val="0"/>
      <w:divBdr>
        <w:top w:val="none" w:sz="0" w:space="0" w:color="auto"/>
        <w:left w:val="none" w:sz="0" w:space="0" w:color="auto"/>
        <w:bottom w:val="none" w:sz="0" w:space="0" w:color="auto"/>
        <w:right w:val="none" w:sz="0" w:space="0" w:color="auto"/>
      </w:divBdr>
    </w:div>
    <w:div w:id="1285500718">
      <w:bodyDiv w:val="1"/>
      <w:marLeft w:val="0"/>
      <w:marRight w:val="0"/>
      <w:marTop w:val="0"/>
      <w:marBottom w:val="0"/>
      <w:divBdr>
        <w:top w:val="none" w:sz="0" w:space="0" w:color="auto"/>
        <w:left w:val="none" w:sz="0" w:space="0" w:color="auto"/>
        <w:bottom w:val="none" w:sz="0" w:space="0" w:color="auto"/>
        <w:right w:val="none" w:sz="0" w:space="0" w:color="auto"/>
      </w:divBdr>
    </w:div>
    <w:div w:id="1313943670">
      <w:bodyDiv w:val="1"/>
      <w:marLeft w:val="0"/>
      <w:marRight w:val="0"/>
      <w:marTop w:val="0"/>
      <w:marBottom w:val="0"/>
      <w:divBdr>
        <w:top w:val="none" w:sz="0" w:space="0" w:color="auto"/>
        <w:left w:val="none" w:sz="0" w:space="0" w:color="auto"/>
        <w:bottom w:val="none" w:sz="0" w:space="0" w:color="auto"/>
        <w:right w:val="none" w:sz="0" w:space="0" w:color="auto"/>
      </w:divBdr>
    </w:div>
    <w:div w:id="1327975668">
      <w:bodyDiv w:val="1"/>
      <w:marLeft w:val="0"/>
      <w:marRight w:val="0"/>
      <w:marTop w:val="0"/>
      <w:marBottom w:val="0"/>
      <w:divBdr>
        <w:top w:val="none" w:sz="0" w:space="0" w:color="auto"/>
        <w:left w:val="none" w:sz="0" w:space="0" w:color="auto"/>
        <w:bottom w:val="none" w:sz="0" w:space="0" w:color="auto"/>
        <w:right w:val="none" w:sz="0" w:space="0" w:color="auto"/>
      </w:divBdr>
    </w:div>
    <w:div w:id="1330251831">
      <w:bodyDiv w:val="1"/>
      <w:marLeft w:val="0"/>
      <w:marRight w:val="0"/>
      <w:marTop w:val="0"/>
      <w:marBottom w:val="0"/>
      <w:divBdr>
        <w:top w:val="none" w:sz="0" w:space="0" w:color="auto"/>
        <w:left w:val="none" w:sz="0" w:space="0" w:color="auto"/>
        <w:bottom w:val="none" w:sz="0" w:space="0" w:color="auto"/>
        <w:right w:val="none" w:sz="0" w:space="0" w:color="auto"/>
      </w:divBdr>
    </w:div>
    <w:div w:id="1334142971">
      <w:bodyDiv w:val="1"/>
      <w:marLeft w:val="0"/>
      <w:marRight w:val="0"/>
      <w:marTop w:val="0"/>
      <w:marBottom w:val="0"/>
      <w:divBdr>
        <w:top w:val="none" w:sz="0" w:space="0" w:color="auto"/>
        <w:left w:val="none" w:sz="0" w:space="0" w:color="auto"/>
        <w:bottom w:val="none" w:sz="0" w:space="0" w:color="auto"/>
        <w:right w:val="none" w:sz="0" w:space="0" w:color="auto"/>
      </w:divBdr>
    </w:div>
    <w:div w:id="1354307206">
      <w:bodyDiv w:val="1"/>
      <w:marLeft w:val="0"/>
      <w:marRight w:val="0"/>
      <w:marTop w:val="0"/>
      <w:marBottom w:val="0"/>
      <w:divBdr>
        <w:top w:val="none" w:sz="0" w:space="0" w:color="auto"/>
        <w:left w:val="none" w:sz="0" w:space="0" w:color="auto"/>
        <w:bottom w:val="none" w:sz="0" w:space="0" w:color="auto"/>
        <w:right w:val="none" w:sz="0" w:space="0" w:color="auto"/>
      </w:divBdr>
    </w:div>
    <w:div w:id="1371805828">
      <w:bodyDiv w:val="1"/>
      <w:marLeft w:val="0"/>
      <w:marRight w:val="0"/>
      <w:marTop w:val="0"/>
      <w:marBottom w:val="0"/>
      <w:divBdr>
        <w:top w:val="none" w:sz="0" w:space="0" w:color="auto"/>
        <w:left w:val="none" w:sz="0" w:space="0" w:color="auto"/>
        <w:bottom w:val="none" w:sz="0" w:space="0" w:color="auto"/>
        <w:right w:val="none" w:sz="0" w:space="0" w:color="auto"/>
      </w:divBdr>
      <w:divsChild>
        <w:div w:id="885989507">
          <w:blockQuote w:val="1"/>
          <w:marLeft w:val="600"/>
          <w:marRight w:val="600"/>
          <w:marTop w:val="240"/>
          <w:marBottom w:val="240"/>
          <w:divBdr>
            <w:top w:val="none" w:sz="0" w:space="0" w:color="auto"/>
            <w:left w:val="none" w:sz="0" w:space="0" w:color="auto"/>
            <w:bottom w:val="none" w:sz="0" w:space="0" w:color="auto"/>
            <w:right w:val="none" w:sz="0" w:space="0" w:color="auto"/>
          </w:divBdr>
        </w:div>
      </w:divsChild>
    </w:div>
    <w:div w:id="1401488796">
      <w:bodyDiv w:val="1"/>
      <w:marLeft w:val="0"/>
      <w:marRight w:val="0"/>
      <w:marTop w:val="0"/>
      <w:marBottom w:val="0"/>
      <w:divBdr>
        <w:top w:val="none" w:sz="0" w:space="0" w:color="auto"/>
        <w:left w:val="none" w:sz="0" w:space="0" w:color="auto"/>
        <w:bottom w:val="none" w:sz="0" w:space="0" w:color="auto"/>
        <w:right w:val="none" w:sz="0" w:space="0" w:color="auto"/>
      </w:divBdr>
    </w:div>
    <w:div w:id="1403680862">
      <w:bodyDiv w:val="1"/>
      <w:marLeft w:val="0"/>
      <w:marRight w:val="0"/>
      <w:marTop w:val="0"/>
      <w:marBottom w:val="0"/>
      <w:divBdr>
        <w:top w:val="none" w:sz="0" w:space="0" w:color="auto"/>
        <w:left w:val="none" w:sz="0" w:space="0" w:color="auto"/>
        <w:bottom w:val="none" w:sz="0" w:space="0" w:color="auto"/>
        <w:right w:val="none" w:sz="0" w:space="0" w:color="auto"/>
      </w:divBdr>
    </w:div>
    <w:div w:id="1446775067">
      <w:bodyDiv w:val="1"/>
      <w:marLeft w:val="0"/>
      <w:marRight w:val="0"/>
      <w:marTop w:val="0"/>
      <w:marBottom w:val="0"/>
      <w:divBdr>
        <w:top w:val="none" w:sz="0" w:space="0" w:color="auto"/>
        <w:left w:val="none" w:sz="0" w:space="0" w:color="auto"/>
        <w:bottom w:val="none" w:sz="0" w:space="0" w:color="auto"/>
        <w:right w:val="none" w:sz="0" w:space="0" w:color="auto"/>
      </w:divBdr>
    </w:div>
    <w:div w:id="1459496975">
      <w:bodyDiv w:val="1"/>
      <w:marLeft w:val="0"/>
      <w:marRight w:val="0"/>
      <w:marTop w:val="0"/>
      <w:marBottom w:val="0"/>
      <w:divBdr>
        <w:top w:val="none" w:sz="0" w:space="0" w:color="auto"/>
        <w:left w:val="none" w:sz="0" w:space="0" w:color="auto"/>
        <w:bottom w:val="none" w:sz="0" w:space="0" w:color="auto"/>
        <w:right w:val="none" w:sz="0" w:space="0" w:color="auto"/>
      </w:divBdr>
    </w:div>
    <w:div w:id="1463579600">
      <w:bodyDiv w:val="1"/>
      <w:marLeft w:val="0"/>
      <w:marRight w:val="0"/>
      <w:marTop w:val="0"/>
      <w:marBottom w:val="0"/>
      <w:divBdr>
        <w:top w:val="none" w:sz="0" w:space="0" w:color="auto"/>
        <w:left w:val="none" w:sz="0" w:space="0" w:color="auto"/>
        <w:bottom w:val="none" w:sz="0" w:space="0" w:color="auto"/>
        <w:right w:val="none" w:sz="0" w:space="0" w:color="auto"/>
      </w:divBdr>
    </w:div>
    <w:div w:id="1470585462">
      <w:bodyDiv w:val="1"/>
      <w:marLeft w:val="0"/>
      <w:marRight w:val="0"/>
      <w:marTop w:val="0"/>
      <w:marBottom w:val="0"/>
      <w:divBdr>
        <w:top w:val="none" w:sz="0" w:space="0" w:color="auto"/>
        <w:left w:val="none" w:sz="0" w:space="0" w:color="auto"/>
        <w:bottom w:val="none" w:sz="0" w:space="0" w:color="auto"/>
        <w:right w:val="none" w:sz="0" w:space="0" w:color="auto"/>
      </w:divBdr>
    </w:div>
    <w:div w:id="1481773790">
      <w:bodyDiv w:val="1"/>
      <w:marLeft w:val="0"/>
      <w:marRight w:val="0"/>
      <w:marTop w:val="0"/>
      <w:marBottom w:val="0"/>
      <w:divBdr>
        <w:top w:val="none" w:sz="0" w:space="0" w:color="auto"/>
        <w:left w:val="none" w:sz="0" w:space="0" w:color="auto"/>
        <w:bottom w:val="none" w:sz="0" w:space="0" w:color="auto"/>
        <w:right w:val="none" w:sz="0" w:space="0" w:color="auto"/>
      </w:divBdr>
    </w:div>
    <w:div w:id="1494835157">
      <w:bodyDiv w:val="1"/>
      <w:marLeft w:val="0"/>
      <w:marRight w:val="0"/>
      <w:marTop w:val="0"/>
      <w:marBottom w:val="0"/>
      <w:divBdr>
        <w:top w:val="none" w:sz="0" w:space="0" w:color="auto"/>
        <w:left w:val="none" w:sz="0" w:space="0" w:color="auto"/>
        <w:bottom w:val="none" w:sz="0" w:space="0" w:color="auto"/>
        <w:right w:val="none" w:sz="0" w:space="0" w:color="auto"/>
      </w:divBdr>
    </w:div>
    <w:div w:id="1514566788">
      <w:bodyDiv w:val="1"/>
      <w:marLeft w:val="0"/>
      <w:marRight w:val="0"/>
      <w:marTop w:val="0"/>
      <w:marBottom w:val="0"/>
      <w:divBdr>
        <w:top w:val="none" w:sz="0" w:space="0" w:color="auto"/>
        <w:left w:val="none" w:sz="0" w:space="0" w:color="auto"/>
        <w:bottom w:val="none" w:sz="0" w:space="0" w:color="auto"/>
        <w:right w:val="none" w:sz="0" w:space="0" w:color="auto"/>
      </w:divBdr>
    </w:div>
    <w:div w:id="1524392721">
      <w:bodyDiv w:val="1"/>
      <w:marLeft w:val="0"/>
      <w:marRight w:val="0"/>
      <w:marTop w:val="0"/>
      <w:marBottom w:val="0"/>
      <w:divBdr>
        <w:top w:val="none" w:sz="0" w:space="0" w:color="auto"/>
        <w:left w:val="none" w:sz="0" w:space="0" w:color="auto"/>
        <w:bottom w:val="none" w:sz="0" w:space="0" w:color="auto"/>
        <w:right w:val="none" w:sz="0" w:space="0" w:color="auto"/>
      </w:divBdr>
    </w:div>
    <w:div w:id="1551267400">
      <w:bodyDiv w:val="1"/>
      <w:marLeft w:val="0"/>
      <w:marRight w:val="0"/>
      <w:marTop w:val="0"/>
      <w:marBottom w:val="0"/>
      <w:divBdr>
        <w:top w:val="none" w:sz="0" w:space="0" w:color="auto"/>
        <w:left w:val="none" w:sz="0" w:space="0" w:color="auto"/>
        <w:bottom w:val="none" w:sz="0" w:space="0" w:color="auto"/>
        <w:right w:val="none" w:sz="0" w:space="0" w:color="auto"/>
      </w:divBdr>
    </w:div>
    <w:div w:id="1556694460">
      <w:bodyDiv w:val="1"/>
      <w:marLeft w:val="0"/>
      <w:marRight w:val="0"/>
      <w:marTop w:val="0"/>
      <w:marBottom w:val="0"/>
      <w:divBdr>
        <w:top w:val="none" w:sz="0" w:space="0" w:color="auto"/>
        <w:left w:val="none" w:sz="0" w:space="0" w:color="auto"/>
        <w:bottom w:val="none" w:sz="0" w:space="0" w:color="auto"/>
        <w:right w:val="none" w:sz="0" w:space="0" w:color="auto"/>
      </w:divBdr>
    </w:div>
    <w:div w:id="1561133764">
      <w:bodyDiv w:val="1"/>
      <w:marLeft w:val="0"/>
      <w:marRight w:val="0"/>
      <w:marTop w:val="0"/>
      <w:marBottom w:val="0"/>
      <w:divBdr>
        <w:top w:val="none" w:sz="0" w:space="0" w:color="auto"/>
        <w:left w:val="none" w:sz="0" w:space="0" w:color="auto"/>
        <w:bottom w:val="none" w:sz="0" w:space="0" w:color="auto"/>
        <w:right w:val="none" w:sz="0" w:space="0" w:color="auto"/>
      </w:divBdr>
    </w:div>
    <w:div w:id="1564759533">
      <w:bodyDiv w:val="1"/>
      <w:marLeft w:val="0"/>
      <w:marRight w:val="0"/>
      <w:marTop w:val="0"/>
      <w:marBottom w:val="0"/>
      <w:divBdr>
        <w:top w:val="none" w:sz="0" w:space="0" w:color="auto"/>
        <w:left w:val="none" w:sz="0" w:space="0" w:color="auto"/>
        <w:bottom w:val="none" w:sz="0" w:space="0" w:color="auto"/>
        <w:right w:val="none" w:sz="0" w:space="0" w:color="auto"/>
      </w:divBdr>
    </w:div>
    <w:div w:id="1608997768">
      <w:bodyDiv w:val="1"/>
      <w:marLeft w:val="0"/>
      <w:marRight w:val="0"/>
      <w:marTop w:val="0"/>
      <w:marBottom w:val="0"/>
      <w:divBdr>
        <w:top w:val="none" w:sz="0" w:space="0" w:color="auto"/>
        <w:left w:val="none" w:sz="0" w:space="0" w:color="auto"/>
        <w:bottom w:val="none" w:sz="0" w:space="0" w:color="auto"/>
        <w:right w:val="none" w:sz="0" w:space="0" w:color="auto"/>
      </w:divBdr>
    </w:div>
    <w:div w:id="1662733602">
      <w:bodyDiv w:val="1"/>
      <w:marLeft w:val="0"/>
      <w:marRight w:val="0"/>
      <w:marTop w:val="0"/>
      <w:marBottom w:val="0"/>
      <w:divBdr>
        <w:top w:val="none" w:sz="0" w:space="0" w:color="auto"/>
        <w:left w:val="none" w:sz="0" w:space="0" w:color="auto"/>
        <w:bottom w:val="none" w:sz="0" w:space="0" w:color="auto"/>
        <w:right w:val="none" w:sz="0" w:space="0" w:color="auto"/>
      </w:divBdr>
    </w:div>
    <w:div w:id="1668552067">
      <w:bodyDiv w:val="1"/>
      <w:marLeft w:val="0"/>
      <w:marRight w:val="0"/>
      <w:marTop w:val="0"/>
      <w:marBottom w:val="0"/>
      <w:divBdr>
        <w:top w:val="none" w:sz="0" w:space="0" w:color="auto"/>
        <w:left w:val="none" w:sz="0" w:space="0" w:color="auto"/>
        <w:bottom w:val="none" w:sz="0" w:space="0" w:color="auto"/>
        <w:right w:val="none" w:sz="0" w:space="0" w:color="auto"/>
      </w:divBdr>
    </w:div>
    <w:div w:id="1677532213">
      <w:bodyDiv w:val="1"/>
      <w:marLeft w:val="0"/>
      <w:marRight w:val="0"/>
      <w:marTop w:val="0"/>
      <w:marBottom w:val="0"/>
      <w:divBdr>
        <w:top w:val="none" w:sz="0" w:space="0" w:color="auto"/>
        <w:left w:val="none" w:sz="0" w:space="0" w:color="auto"/>
        <w:bottom w:val="none" w:sz="0" w:space="0" w:color="auto"/>
        <w:right w:val="none" w:sz="0" w:space="0" w:color="auto"/>
      </w:divBdr>
    </w:div>
    <w:div w:id="1679774686">
      <w:bodyDiv w:val="1"/>
      <w:marLeft w:val="0"/>
      <w:marRight w:val="0"/>
      <w:marTop w:val="0"/>
      <w:marBottom w:val="0"/>
      <w:divBdr>
        <w:top w:val="none" w:sz="0" w:space="0" w:color="auto"/>
        <w:left w:val="none" w:sz="0" w:space="0" w:color="auto"/>
        <w:bottom w:val="none" w:sz="0" w:space="0" w:color="auto"/>
        <w:right w:val="none" w:sz="0" w:space="0" w:color="auto"/>
      </w:divBdr>
    </w:div>
    <w:div w:id="1749424673">
      <w:bodyDiv w:val="1"/>
      <w:marLeft w:val="0"/>
      <w:marRight w:val="0"/>
      <w:marTop w:val="0"/>
      <w:marBottom w:val="0"/>
      <w:divBdr>
        <w:top w:val="none" w:sz="0" w:space="0" w:color="auto"/>
        <w:left w:val="none" w:sz="0" w:space="0" w:color="auto"/>
        <w:bottom w:val="none" w:sz="0" w:space="0" w:color="auto"/>
        <w:right w:val="none" w:sz="0" w:space="0" w:color="auto"/>
      </w:divBdr>
    </w:div>
    <w:div w:id="1751854566">
      <w:bodyDiv w:val="1"/>
      <w:marLeft w:val="0"/>
      <w:marRight w:val="0"/>
      <w:marTop w:val="0"/>
      <w:marBottom w:val="0"/>
      <w:divBdr>
        <w:top w:val="none" w:sz="0" w:space="0" w:color="auto"/>
        <w:left w:val="none" w:sz="0" w:space="0" w:color="auto"/>
        <w:bottom w:val="none" w:sz="0" w:space="0" w:color="auto"/>
        <w:right w:val="none" w:sz="0" w:space="0" w:color="auto"/>
      </w:divBdr>
    </w:div>
    <w:div w:id="1769110334">
      <w:bodyDiv w:val="1"/>
      <w:marLeft w:val="0"/>
      <w:marRight w:val="0"/>
      <w:marTop w:val="0"/>
      <w:marBottom w:val="0"/>
      <w:divBdr>
        <w:top w:val="none" w:sz="0" w:space="0" w:color="auto"/>
        <w:left w:val="none" w:sz="0" w:space="0" w:color="auto"/>
        <w:bottom w:val="none" w:sz="0" w:space="0" w:color="auto"/>
        <w:right w:val="none" w:sz="0" w:space="0" w:color="auto"/>
      </w:divBdr>
    </w:div>
    <w:div w:id="1830513997">
      <w:bodyDiv w:val="1"/>
      <w:marLeft w:val="0"/>
      <w:marRight w:val="0"/>
      <w:marTop w:val="0"/>
      <w:marBottom w:val="0"/>
      <w:divBdr>
        <w:top w:val="none" w:sz="0" w:space="0" w:color="auto"/>
        <w:left w:val="none" w:sz="0" w:space="0" w:color="auto"/>
        <w:bottom w:val="none" w:sz="0" w:space="0" w:color="auto"/>
        <w:right w:val="none" w:sz="0" w:space="0" w:color="auto"/>
      </w:divBdr>
    </w:div>
    <w:div w:id="1834946916">
      <w:bodyDiv w:val="1"/>
      <w:marLeft w:val="0"/>
      <w:marRight w:val="0"/>
      <w:marTop w:val="0"/>
      <w:marBottom w:val="0"/>
      <w:divBdr>
        <w:top w:val="none" w:sz="0" w:space="0" w:color="auto"/>
        <w:left w:val="none" w:sz="0" w:space="0" w:color="auto"/>
        <w:bottom w:val="none" w:sz="0" w:space="0" w:color="auto"/>
        <w:right w:val="none" w:sz="0" w:space="0" w:color="auto"/>
      </w:divBdr>
    </w:div>
    <w:div w:id="1886214020">
      <w:bodyDiv w:val="1"/>
      <w:marLeft w:val="0"/>
      <w:marRight w:val="0"/>
      <w:marTop w:val="0"/>
      <w:marBottom w:val="0"/>
      <w:divBdr>
        <w:top w:val="none" w:sz="0" w:space="0" w:color="auto"/>
        <w:left w:val="none" w:sz="0" w:space="0" w:color="auto"/>
        <w:bottom w:val="none" w:sz="0" w:space="0" w:color="auto"/>
        <w:right w:val="none" w:sz="0" w:space="0" w:color="auto"/>
      </w:divBdr>
    </w:div>
    <w:div w:id="1891307482">
      <w:bodyDiv w:val="1"/>
      <w:marLeft w:val="0"/>
      <w:marRight w:val="0"/>
      <w:marTop w:val="0"/>
      <w:marBottom w:val="0"/>
      <w:divBdr>
        <w:top w:val="none" w:sz="0" w:space="0" w:color="auto"/>
        <w:left w:val="none" w:sz="0" w:space="0" w:color="auto"/>
        <w:bottom w:val="none" w:sz="0" w:space="0" w:color="auto"/>
        <w:right w:val="none" w:sz="0" w:space="0" w:color="auto"/>
      </w:divBdr>
    </w:div>
    <w:div w:id="1894387783">
      <w:bodyDiv w:val="1"/>
      <w:marLeft w:val="0"/>
      <w:marRight w:val="0"/>
      <w:marTop w:val="0"/>
      <w:marBottom w:val="0"/>
      <w:divBdr>
        <w:top w:val="none" w:sz="0" w:space="0" w:color="auto"/>
        <w:left w:val="none" w:sz="0" w:space="0" w:color="auto"/>
        <w:bottom w:val="none" w:sz="0" w:space="0" w:color="auto"/>
        <w:right w:val="none" w:sz="0" w:space="0" w:color="auto"/>
      </w:divBdr>
    </w:div>
    <w:div w:id="1923567606">
      <w:bodyDiv w:val="1"/>
      <w:marLeft w:val="0"/>
      <w:marRight w:val="0"/>
      <w:marTop w:val="0"/>
      <w:marBottom w:val="0"/>
      <w:divBdr>
        <w:top w:val="none" w:sz="0" w:space="0" w:color="auto"/>
        <w:left w:val="none" w:sz="0" w:space="0" w:color="auto"/>
        <w:bottom w:val="none" w:sz="0" w:space="0" w:color="auto"/>
        <w:right w:val="none" w:sz="0" w:space="0" w:color="auto"/>
      </w:divBdr>
    </w:div>
    <w:div w:id="1926570280">
      <w:bodyDiv w:val="1"/>
      <w:marLeft w:val="0"/>
      <w:marRight w:val="0"/>
      <w:marTop w:val="0"/>
      <w:marBottom w:val="0"/>
      <w:divBdr>
        <w:top w:val="none" w:sz="0" w:space="0" w:color="auto"/>
        <w:left w:val="none" w:sz="0" w:space="0" w:color="auto"/>
        <w:bottom w:val="none" w:sz="0" w:space="0" w:color="auto"/>
        <w:right w:val="none" w:sz="0" w:space="0" w:color="auto"/>
      </w:divBdr>
    </w:div>
    <w:div w:id="1952085996">
      <w:bodyDiv w:val="1"/>
      <w:marLeft w:val="0"/>
      <w:marRight w:val="0"/>
      <w:marTop w:val="0"/>
      <w:marBottom w:val="0"/>
      <w:divBdr>
        <w:top w:val="none" w:sz="0" w:space="0" w:color="auto"/>
        <w:left w:val="none" w:sz="0" w:space="0" w:color="auto"/>
        <w:bottom w:val="none" w:sz="0" w:space="0" w:color="auto"/>
        <w:right w:val="none" w:sz="0" w:space="0" w:color="auto"/>
      </w:divBdr>
    </w:div>
    <w:div w:id="1956521840">
      <w:bodyDiv w:val="1"/>
      <w:marLeft w:val="0"/>
      <w:marRight w:val="0"/>
      <w:marTop w:val="0"/>
      <w:marBottom w:val="0"/>
      <w:divBdr>
        <w:top w:val="none" w:sz="0" w:space="0" w:color="auto"/>
        <w:left w:val="none" w:sz="0" w:space="0" w:color="auto"/>
        <w:bottom w:val="none" w:sz="0" w:space="0" w:color="auto"/>
        <w:right w:val="none" w:sz="0" w:space="0" w:color="auto"/>
      </w:divBdr>
    </w:div>
    <w:div w:id="2016372672">
      <w:bodyDiv w:val="1"/>
      <w:marLeft w:val="0"/>
      <w:marRight w:val="0"/>
      <w:marTop w:val="0"/>
      <w:marBottom w:val="0"/>
      <w:divBdr>
        <w:top w:val="none" w:sz="0" w:space="0" w:color="auto"/>
        <w:left w:val="none" w:sz="0" w:space="0" w:color="auto"/>
        <w:bottom w:val="none" w:sz="0" w:space="0" w:color="auto"/>
        <w:right w:val="none" w:sz="0" w:space="0" w:color="auto"/>
      </w:divBdr>
    </w:div>
    <w:div w:id="2019111308">
      <w:bodyDiv w:val="1"/>
      <w:marLeft w:val="0"/>
      <w:marRight w:val="0"/>
      <w:marTop w:val="0"/>
      <w:marBottom w:val="0"/>
      <w:divBdr>
        <w:top w:val="none" w:sz="0" w:space="0" w:color="auto"/>
        <w:left w:val="none" w:sz="0" w:space="0" w:color="auto"/>
        <w:bottom w:val="none" w:sz="0" w:space="0" w:color="auto"/>
        <w:right w:val="none" w:sz="0" w:space="0" w:color="auto"/>
      </w:divBdr>
    </w:div>
    <w:div w:id="2024934512">
      <w:bodyDiv w:val="1"/>
      <w:marLeft w:val="0"/>
      <w:marRight w:val="0"/>
      <w:marTop w:val="0"/>
      <w:marBottom w:val="0"/>
      <w:divBdr>
        <w:top w:val="none" w:sz="0" w:space="0" w:color="auto"/>
        <w:left w:val="none" w:sz="0" w:space="0" w:color="auto"/>
        <w:bottom w:val="none" w:sz="0" w:space="0" w:color="auto"/>
        <w:right w:val="none" w:sz="0" w:space="0" w:color="auto"/>
      </w:divBdr>
      <w:divsChild>
        <w:div w:id="797645732">
          <w:blockQuote w:val="1"/>
          <w:marLeft w:val="600"/>
          <w:marRight w:val="600"/>
          <w:marTop w:val="240"/>
          <w:marBottom w:val="240"/>
          <w:divBdr>
            <w:top w:val="none" w:sz="0" w:space="0" w:color="auto"/>
            <w:left w:val="none" w:sz="0" w:space="0" w:color="auto"/>
            <w:bottom w:val="none" w:sz="0" w:space="0" w:color="auto"/>
            <w:right w:val="none" w:sz="0" w:space="0" w:color="auto"/>
          </w:divBdr>
        </w:div>
      </w:divsChild>
    </w:div>
    <w:div w:id="2034762945">
      <w:bodyDiv w:val="1"/>
      <w:marLeft w:val="0"/>
      <w:marRight w:val="0"/>
      <w:marTop w:val="0"/>
      <w:marBottom w:val="0"/>
      <w:divBdr>
        <w:top w:val="none" w:sz="0" w:space="0" w:color="auto"/>
        <w:left w:val="none" w:sz="0" w:space="0" w:color="auto"/>
        <w:bottom w:val="none" w:sz="0" w:space="0" w:color="auto"/>
        <w:right w:val="none" w:sz="0" w:space="0" w:color="auto"/>
      </w:divBdr>
    </w:div>
    <w:div w:id="2039043331">
      <w:bodyDiv w:val="1"/>
      <w:marLeft w:val="0"/>
      <w:marRight w:val="0"/>
      <w:marTop w:val="0"/>
      <w:marBottom w:val="0"/>
      <w:divBdr>
        <w:top w:val="none" w:sz="0" w:space="0" w:color="auto"/>
        <w:left w:val="none" w:sz="0" w:space="0" w:color="auto"/>
        <w:bottom w:val="none" w:sz="0" w:space="0" w:color="auto"/>
        <w:right w:val="none" w:sz="0" w:space="0" w:color="auto"/>
      </w:divBdr>
    </w:div>
    <w:div w:id="2040737774">
      <w:bodyDiv w:val="1"/>
      <w:marLeft w:val="0"/>
      <w:marRight w:val="0"/>
      <w:marTop w:val="0"/>
      <w:marBottom w:val="0"/>
      <w:divBdr>
        <w:top w:val="none" w:sz="0" w:space="0" w:color="auto"/>
        <w:left w:val="none" w:sz="0" w:space="0" w:color="auto"/>
        <w:bottom w:val="none" w:sz="0" w:space="0" w:color="auto"/>
        <w:right w:val="none" w:sz="0" w:space="0" w:color="auto"/>
      </w:divBdr>
    </w:div>
    <w:div w:id="2041318579">
      <w:bodyDiv w:val="1"/>
      <w:marLeft w:val="0"/>
      <w:marRight w:val="0"/>
      <w:marTop w:val="0"/>
      <w:marBottom w:val="0"/>
      <w:divBdr>
        <w:top w:val="none" w:sz="0" w:space="0" w:color="auto"/>
        <w:left w:val="none" w:sz="0" w:space="0" w:color="auto"/>
        <w:bottom w:val="none" w:sz="0" w:space="0" w:color="auto"/>
        <w:right w:val="none" w:sz="0" w:space="0" w:color="auto"/>
      </w:divBdr>
    </w:div>
    <w:div w:id="2077433584">
      <w:bodyDiv w:val="1"/>
      <w:marLeft w:val="0"/>
      <w:marRight w:val="0"/>
      <w:marTop w:val="0"/>
      <w:marBottom w:val="0"/>
      <w:divBdr>
        <w:top w:val="none" w:sz="0" w:space="0" w:color="auto"/>
        <w:left w:val="none" w:sz="0" w:space="0" w:color="auto"/>
        <w:bottom w:val="none" w:sz="0" w:space="0" w:color="auto"/>
        <w:right w:val="none" w:sz="0" w:space="0" w:color="auto"/>
      </w:divBdr>
    </w:div>
    <w:div w:id="2082562870">
      <w:bodyDiv w:val="1"/>
      <w:marLeft w:val="0"/>
      <w:marRight w:val="0"/>
      <w:marTop w:val="0"/>
      <w:marBottom w:val="0"/>
      <w:divBdr>
        <w:top w:val="none" w:sz="0" w:space="0" w:color="auto"/>
        <w:left w:val="none" w:sz="0" w:space="0" w:color="auto"/>
        <w:bottom w:val="none" w:sz="0" w:space="0" w:color="auto"/>
        <w:right w:val="none" w:sz="0" w:space="0" w:color="auto"/>
      </w:divBdr>
    </w:div>
    <w:div w:id="2102528180">
      <w:bodyDiv w:val="1"/>
      <w:marLeft w:val="0"/>
      <w:marRight w:val="0"/>
      <w:marTop w:val="0"/>
      <w:marBottom w:val="0"/>
      <w:divBdr>
        <w:top w:val="none" w:sz="0" w:space="0" w:color="auto"/>
        <w:left w:val="none" w:sz="0" w:space="0" w:color="auto"/>
        <w:bottom w:val="none" w:sz="0" w:space="0" w:color="auto"/>
        <w:right w:val="none" w:sz="0" w:space="0" w:color="auto"/>
      </w:divBdr>
    </w:div>
    <w:div w:id="2112578197">
      <w:bodyDiv w:val="1"/>
      <w:marLeft w:val="0"/>
      <w:marRight w:val="0"/>
      <w:marTop w:val="0"/>
      <w:marBottom w:val="0"/>
      <w:divBdr>
        <w:top w:val="none" w:sz="0" w:space="0" w:color="auto"/>
        <w:left w:val="none" w:sz="0" w:space="0" w:color="auto"/>
        <w:bottom w:val="none" w:sz="0" w:space="0" w:color="auto"/>
        <w:right w:val="none" w:sz="0" w:space="0" w:color="auto"/>
      </w:divBdr>
    </w:div>
    <w:div w:id="2113698649">
      <w:bodyDiv w:val="1"/>
      <w:marLeft w:val="0"/>
      <w:marRight w:val="0"/>
      <w:marTop w:val="0"/>
      <w:marBottom w:val="0"/>
      <w:divBdr>
        <w:top w:val="none" w:sz="0" w:space="0" w:color="auto"/>
        <w:left w:val="none" w:sz="0" w:space="0" w:color="auto"/>
        <w:bottom w:val="none" w:sz="0" w:space="0" w:color="auto"/>
        <w:right w:val="none" w:sz="0" w:space="0" w:color="auto"/>
      </w:divBdr>
    </w:div>
    <w:div w:id="2130466735">
      <w:bodyDiv w:val="1"/>
      <w:marLeft w:val="0"/>
      <w:marRight w:val="0"/>
      <w:marTop w:val="0"/>
      <w:marBottom w:val="0"/>
      <w:divBdr>
        <w:top w:val="none" w:sz="0" w:space="0" w:color="auto"/>
        <w:left w:val="none" w:sz="0" w:space="0" w:color="auto"/>
        <w:bottom w:val="none" w:sz="0" w:space="0" w:color="auto"/>
        <w:right w:val="none" w:sz="0" w:space="0" w:color="auto"/>
      </w:divBdr>
    </w:div>
    <w:div w:id="2143888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rbi.org.in/Scripts/BS_ViewMasDirections.aspx?id=12163" TargetMode="External"/><Relationship Id="rId21" Type="http://schemas.openxmlformats.org/officeDocument/2006/relationships/hyperlink" Target="https://www.rbi.org.in/Scripts/NotificationUser.aspx?Id=11441&amp;Mode=0" TargetMode="External"/><Relationship Id="rId42" Type="http://schemas.openxmlformats.org/officeDocument/2006/relationships/hyperlink" Target="https://rbi.org.in/Scripts/BS_ViewMasDirections.aspx?id=11510" TargetMode="External"/><Relationship Id="rId63" Type="http://schemas.openxmlformats.org/officeDocument/2006/relationships/hyperlink" Target="https://m.rbi.org.in/scripts/FS_Notification.aspx?Id=12374&amp;fn=6&amp;Mode=0" TargetMode="External"/><Relationship Id="rId84" Type="http://schemas.openxmlformats.org/officeDocument/2006/relationships/hyperlink" Target="https://rbi.org.in/Scripts/BS_CircularIndexDisplay.aspx?Id=12382" TargetMode="External"/><Relationship Id="rId138" Type="http://schemas.openxmlformats.org/officeDocument/2006/relationships/hyperlink" Target="https://www.rbi.org.in/scripts/FS_Notification.aspx?Id=12401&amp;fn=2&amp;Mode=0" TargetMode="External"/><Relationship Id="rId159" Type="http://schemas.openxmlformats.org/officeDocument/2006/relationships/hyperlink" Target="https://m.rbi.org.in/Scripts/NotificationUser.aspx?Id=11601&amp;Mode=0" TargetMode="External"/><Relationship Id="rId170" Type="http://schemas.openxmlformats.org/officeDocument/2006/relationships/hyperlink" Target="https://m.rbi.org.in/scripts/FS_Notification.aspx?Id=12416&amp;fn=2755&amp;Mode=0" TargetMode="External"/><Relationship Id="rId191" Type="http://schemas.openxmlformats.org/officeDocument/2006/relationships/hyperlink" Target="https://m.rbi.org.in/scripts/BS_CircularIndexDisplay.aspx?Id=12425" TargetMode="External"/><Relationship Id="rId107" Type="http://schemas.openxmlformats.org/officeDocument/2006/relationships/hyperlink" Target="https://rbi.org.in/Scripts/BS_ViewMasDirections.aspx?id=11510" TargetMode="External"/><Relationship Id="rId11" Type="http://schemas.openxmlformats.org/officeDocument/2006/relationships/hyperlink" Target="https://www.rbi.org.in/Scripts/NotificationUser.aspx?Id=12348&amp;Mode=0" TargetMode="External"/><Relationship Id="rId32" Type="http://schemas.openxmlformats.org/officeDocument/2006/relationships/hyperlink" Target="https://www.rbi.org.in/scripts/NotificationUser.aspx?Id=12361&amp;Mode=0" TargetMode="External"/><Relationship Id="rId53" Type="http://schemas.openxmlformats.org/officeDocument/2006/relationships/hyperlink" Target="https://www.rbi.org.in/Scripts/BS_PressReleaseDisplay.aspx?prid=32614" TargetMode="External"/><Relationship Id="rId74" Type="http://schemas.openxmlformats.org/officeDocument/2006/relationships/hyperlink" Target="https://rbidocs.rbi.org.in/rdocs/content/pdfs/GazetteRules23082022.pdf" TargetMode="External"/><Relationship Id="rId128" Type="http://schemas.openxmlformats.org/officeDocument/2006/relationships/hyperlink" Target="https://m.rbi.org.in/Scripts/BS_CircularIndexDisplay.aspx?Id=12399" TargetMode="External"/><Relationship Id="rId149" Type="http://schemas.openxmlformats.org/officeDocument/2006/relationships/hyperlink" Target="https://www.rbi.org.in/Scripts/BS_ViewMasCirculardetails.aspx?id=12274" TargetMode="External"/><Relationship Id="rId5" Type="http://schemas.openxmlformats.org/officeDocument/2006/relationships/hyperlink" Target="https://www.rbi.org.in/Scripts/NotificationUser.aspx?Id=5671&amp;Mode=0" TargetMode="External"/><Relationship Id="rId95" Type="http://schemas.openxmlformats.org/officeDocument/2006/relationships/hyperlink" Target="https://rbi.org.in/Scripts/BS_ViewMasDirections.aspx?id=10296" TargetMode="External"/><Relationship Id="rId160" Type="http://schemas.openxmlformats.org/officeDocument/2006/relationships/hyperlink" Target="https://m.rbi.org.in/Scripts/NotificationUser.aspx?Id=11777&amp;Mode=0" TargetMode="External"/><Relationship Id="rId181" Type="http://schemas.openxmlformats.org/officeDocument/2006/relationships/hyperlink" Target="https://www.rbi.org.in/scripts/FS_Notification.aspx?Id=12422&amp;fn=2&amp;Mode=0" TargetMode="External"/><Relationship Id="rId22" Type="http://schemas.openxmlformats.org/officeDocument/2006/relationships/hyperlink" Target="https://www.rbi.org.in/Scripts/BS_ViewMasDirections.aspx?id=10485" TargetMode="External"/><Relationship Id="rId43" Type="http://schemas.openxmlformats.org/officeDocument/2006/relationships/hyperlink" Target="https://www.rbi.org.in/Scripts/BS_PressReleaseDisplay.aspx?prid=53979" TargetMode="External"/><Relationship Id="rId64" Type="http://schemas.openxmlformats.org/officeDocument/2006/relationships/hyperlink" Target="https://www.rbi.org.in/scripts/NotificationUser.aspx?Id=12375&amp;Mode=0" TargetMode="External"/><Relationship Id="rId118" Type="http://schemas.openxmlformats.org/officeDocument/2006/relationships/hyperlink" Target="https://www.rbi.org.in/Scripts/BS_ViewMasDirections.aspx?id=10567" TargetMode="External"/><Relationship Id="rId139" Type="http://schemas.openxmlformats.org/officeDocument/2006/relationships/hyperlink" Target="https://www.rbi.org.in/scripts/FS_Notification.aspx?Id=12401&amp;fn=2&amp;Mode=0" TargetMode="External"/><Relationship Id="rId85" Type="http://schemas.openxmlformats.org/officeDocument/2006/relationships/hyperlink" Target="https://www.rbi.org.in/Scripts/NotificationUser.aspx?Id=10233&amp;Mode=0" TargetMode="External"/><Relationship Id="rId150" Type="http://schemas.openxmlformats.org/officeDocument/2006/relationships/hyperlink" Target="https://www.rbi.org.in/Scripts/NotificationUser.aspx?Id=12408&amp;Mode=0" TargetMode="External"/><Relationship Id="rId171" Type="http://schemas.openxmlformats.org/officeDocument/2006/relationships/hyperlink" Target="https://m.rbi.org.in/scripts/FS_Notification.aspx?Id=12416&amp;fn=2755&amp;Mode=0" TargetMode="External"/><Relationship Id="rId192" Type="http://schemas.openxmlformats.org/officeDocument/2006/relationships/hyperlink" Target="https://rbi.org.in/Scripts/BS_ViewMasDirections.aspx?id=12158" TargetMode="External"/><Relationship Id="rId12" Type="http://schemas.openxmlformats.org/officeDocument/2006/relationships/hyperlink" Target="https://www.rbi.org.in/Scripts/NotificationUser.aspx?Id=12348&amp;Mode=0" TargetMode="External"/><Relationship Id="rId33" Type="http://schemas.openxmlformats.org/officeDocument/2006/relationships/hyperlink" Target="https://www.rbi.org.in/Scripts/NotificationUser.aspx?Id=11822&amp;Mode=0" TargetMode="External"/><Relationship Id="rId108" Type="http://schemas.openxmlformats.org/officeDocument/2006/relationships/hyperlink" Target="https://www.rbi.org.in/scripts/NotificationUser.aspx?Id=12393&amp;Mode=0" TargetMode="External"/><Relationship Id="rId129" Type="http://schemas.openxmlformats.org/officeDocument/2006/relationships/hyperlink" Target="https://m.rbi.org.in/Scripts/BS_CircularIndexDisplay.aspx?Id=12399" TargetMode="External"/><Relationship Id="rId54" Type="http://schemas.openxmlformats.org/officeDocument/2006/relationships/hyperlink" Target="https://www.rbi.org.in/Scripts/BS_PressReleaseDisplay.aspx?prid=48807" TargetMode="External"/><Relationship Id="rId75" Type="http://schemas.openxmlformats.org/officeDocument/2006/relationships/hyperlink" Target="https://www.rbi.org.in/scripts/NotificationUser.aspx?Id=12380&amp;Mode=0" TargetMode="External"/><Relationship Id="rId96" Type="http://schemas.openxmlformats.org/officeDocument/2006/relationships/hyperlink" Target="https://rbi.org.in/Scripts/BS_ViewMasDirections.aspx?id=10394" TargetMode="External"/><Relationship Id="rId140" Type="http://schemas.openxmlformats.org/officeDocument/2006/relationships/hyperlink" Target="https://www.rbi.org.in/scripts/FS_Notification.aspx?Id=12401&amp;fn=2&amp;Mode=0" TargetMode="External"/><Relationship Id="rId161" Type="http://schemas.openxmlformats.org/officeDocument/2006/relationships/hyperlink" Target="https://m.rbi.org.in/Scripts/NotificationUser.aspx?Id=11601&amp;Mode=0" TargetMode="External"/><Relationship Id="rId182" Type="http://schemas.openxmlformats.org/officeDocument/2006/relationships/hyperlink" Target="https://m.rbi.org.in/Scripts/BS_PressReleaseDisplay.aspx?prid=54819" TargetMode="External"/><Relationship Id="rId6" Type="http://schemas.openxmlformats.org/officeDocument/2006/relationships/hyperlink" Target="https://www.rbi.org.in/Scripts/NotificationUser.aspx?Id=12347&amp;Mode=0" TargetMode="External"/><Relationship Id="rId23" Type="http://schemas.openxmlformats.org/officeDocument/2006/relationships/hyperlink" Target="https://www.rbi.org.in/Scripts/BS_PressReleaseDisplay.aspx?prid=53979" TargetMode="External"/><Relationship Id="rId119" Type="http://schemas.openxmlformats.org/officeDocument/2006/relationships/hyperlink" Target="https://www.rbi.org.in/scripts/NotificationUser.aspx?Id=12397&amp;Mode=0" TargetMode="External"/><Relationship Id="rId44" Type="http://schemas.openxmlformats.org/officeDocument/2006/relationships/hyperlink" Target="https://rbidocs.rbi.org.in/rdocs/content/pdfs/GN3RFEMA01082022.pdf" TargetMode="External"/><Relationship Id="rId65" Type="http://schemas.openxmlformats.org/officeDocument/2006/relationships/hyperlink" Target="https://www.rbi.org.in/Scripts/NotificationUser.aspx?Id=12048&amp;Mode=0" TargetMode="External"/><Relationship Id="rId86" Type="http://schemas.openxmlformats.org/officeDocument/2006/relationships/hyperlink" Target="https://www.rbi.org.in/Scripts/NotificationUser.aspx?Id=11560&amp;Mode=0" TargetMode="External"/><Relationship Id="rId130" Type="http://schemas.openxmlformats.org/officeDocument/2006/relationships/hyperlink" Target="https://m.rbi.org.in/Scripts/BS_CircularIndexDisplay.aspx?Id=12399" TargetMode="External"/><Relationship Id="rId151" Type="http://schemas.openxmlformats.org/officeDocument/2006/relationships/hyperlink" Target="https://www.rbi.org.in/Scripts/NotificationUser.aspx?Id=12302&amp;Mode=0" TargetMode="External"/><Relationship Id="rId172" Type="http://schemas.openxmlformats.org/officeDocument/2006/relationships/hyperlink" Target="https://m.rbi.org.in/Scripts/NotificationUser.aspx?Id=4676&amp;Mode=0" TargetMode="External"/><Relationship Id="rId193" Type="http://schemas.openxmlformats.org/officeDocument/2006/relationships/hyperlink" Target="https://rbi.org.in/Scripts/BS_ViewMasDirections.aspx?id=12158" TargetMode="External"/><Relationship Id="rId13" Type="http://schemas.openxmlformats.org/officeDocument/2006/relationships/hyperlink" Target="https://www.rbi.org.in/Scripts/BS_ViewMasDirections.aspx?id=10296" TargetMode="External"/><Relationship Id="rId109" Type="http://schemas.openxmlformats.org/officeDocument/2006/relationships/hyperlink" Target="https://rbi.org.in/Scripts/BS_PressReleaseDisplay.aspx?prid=54149" TargetMode="External"/><Relationship Id="rId34" Type="http://schemas.openxmlformats.org/officeDocument/2006/relationships/hyperlink" Target="https://www.rbi.org.in/Scripts/NotificationUser.aspx?Id=12050&amp;Mode=0" TargetMode="External"/><Relationship Id="rId55" Type="http://schemas.openxmlformats.org/officeDocument/2006/relationships/hyperlink" Target="https://www.rbi.org.in/scripts/NotificationUser.aspx?Id=12373&amp;Mode=0" TargetMode="External"/><Relationship Id="rId76" Type="http://schemas.openxmlformats.org/officeDocument/2006/relationships/hyperlink" Target="https://rbidocs.rbi.org.in/rdocs/content/pdfs/GazetteRules23082022.pdf" TargetMode="External"/><Relationship Id="rId97" Type="http://schemas.openxmlformats.org/officeDocument/2006/relationships/hyperlink" Target="https://rbi.org.in/Scripts/BS_ViewMasDirections.aspx?id=10296" TargetMode="External"/><Relationship Id="rId120" Type="http://schemas.openxmlformats.org/officeDocument/2006/relationships/hyperlink" Target="https://m.rbi.org.in/Scripts/NotificationUser.aspx?Id=12397&amp;Mode=0" TargetMode="External"/><Relationship Id="rId141" Type="http://schemas.openxmlformats.org/officeDocument/2006/relationships/hyperlink" Target="https://rbi.org.in/Scripts/NotificationUser.aspx?Id=12402&amp;Mode=0" TargetMode="External"/><Relationship Id="rId7" Type="http://schemas.openxmlformats.org/officeDocument/2006/relationships/hyperlink" Target="https://www.rbi.org.in/Scripts/NotificationUser.aspx?Id=12347&amp;Mode=0" TargetMode="External"/><Relationship Id="rId162" Type="http://schemas.openxmlformats.org/officeDocument/2006/relationships/hyperlink" Target="https://m.rbi.org.in/scripts/FS_Notification.aspx?Id=12414&amp;fn=6&amp;Mode=0" TargetMode="External"/><Relationship Id="rId183" Type="http://schemas.openxmlformats.org/officeDocument/2006/relationships/hyperlink" Target="https://m.rbi.org.in/Scripts/BS_PressReleaseDisplay.aspx?prid=54818" TargetMode="External"/><Relationship Id="rId2" Type="http://schemas.openxmlformats.org/officeDocument/2006/relationships/styles" Target="styles.xml"/><Relationship Id="rId29" Type="http://schemas.openxmlformats.org/officeDocument/2006/relationships/hyperlink" Target="https://www.rbi.org.in/scripts/NotificationUser.aspx?Id=12360&amp;Mode=0" TargetMode="External"/><Relationship Id="rId24" Type="http://schemas.openxmlformats.org/officeDocument/2006/relationships/hyperlink" Target="https://www.rbi.org.in/Scripts/BS_ViewMasDirections.aspx?id=10485" TargetMode="External"/><Relationship Id="rId40" Type="http://schemas.openxmlformats.org/officeDocument/2006/relationships/hyperlink" Target="https://www.rbi.org.in/scripts/NotificationUser.aspx?Id=12365&amp;Mode=0" TargetMode="External"/><Relationship Id="rId45" Type="http://schemas.openxmlformats.org/officeDocument/2006/relationships/hyperlink" Target="https://www.rbi.org.in/Scripts/NotificationUser.aspx?Id=12366&amp;Mode=0" TargetMode="External"/><Relationship Id="rId66" Type="http://schemas.openxmlformats.org/officeDocument/2006/relationships/hyperlink" Target="https://www.rbi.org.in/Scripts/NotificationUser.aspx?Id=12262&amp;Mode=0" TargetMode="External"/><Relationship Id="rId87" Type="http://schemas.openxmlformats.org/officeDocument/2006/relationships/hyperlink" Target="https://www.rbi.org.in/scripts/NotificationUser.aspx?Id=12383&amp;Mode=0" TargetMode="External"/><Relationship Id="rId110" Type="http://schemas.openxmlformats.org/officeDocument/2006/relationships/hyperlink" Target="https://www.rbi.org.in/Scripts/NotificationUser.aspx?Id=12395&amp;Mode=0" TargetMode="External"/><Relationship Id="rId115" Type="http://schemas.openxmlformats.org/officeDocument/2006/relationships/hyperlink" Target="https://www.rbi.org.in/scripts/NotificationUser.aspx?Id=12397&amp;Mode=0" TargetMode="External"/><Relationship Id="rId131" Type="http://schemas.openxmlformats.org/officeDocument/2006/relationships/hyperlink" Target="https://www.rbi.org.in/Scripts/NotificationUser.aspx?Id=12179&amp;Mode=0" TargetMode="External"/><Relationship Id="rId136" Type="http://schemas.openxmlformats.org/officeDocument/2006/relationships/hyperlink" Target="https://www.rbi.org.in/Scripts/NotificationUser.aspx?Id=12400&amp;Mode=0" TargetMode="External"/><Relationship Id="rId157" Type="http://schemas.openxmlformats.org/officeDocument/2006/relationships/hyperlink" Target="https://www.rbi.org.in/Scripts/BS_PressReleaseDisplay.aspx?prid=53539" TargetMode="External"/><Relationship Id="rId178" Type="http://schemas.openxmlformats.org/officeDocument/2006/relationships/hyperlink" Target="https://rbi.org.in/Scripts/BS_PressReleaseDisplay.aspx?prid=54819" TargetMode="External"/><Relationship Id="rId61" Type="http://schemas.openxmlformats.org/officeDocument/2006/relationships/hyperlink" Target="https://m.rbi.org.in/Scripts/NotificationUser.aspx?Id=12229&amp;Mode=0" TargetMode="External"/><Relationship Id="rId82" Type="http://schemas.openxmlformats.org/officeDocument/2006/relationships/hyperlink" Target="https://rbi.org.in/Scripts/BS_CircularIndexDisplay.aspx?Id=12382" TargetMode="External"/><Relationship Id="rId152" Type="http://schemas.openxmlformats.org/officeDocument/2006/relationships/hyperlink" Target="https://www.rbi.org.in/scripts/NotificationUser.aspx?Id=12411&amp;Mode=0" TargetMode="External"/><Relationship Id="rId173" Type="http://schemas.openxmlformats.org/officeDocument/2006/relationships/hyperlink" Target="https://m.rbi.org.in/Scripts/NotificationUser.aspx?Id=8874&amp;Mode=0" TargetMode="External"/><Relationship Id="rId194" Type="http://schemas.openxmlformats.org/officeDocument/2006/relationships/hyperlink" Target="https://rbi.org.in/Scripts/NotificationUser.aspx?Id=12426&amp;Mode=0" TargetMode="External"/><Relationship Id="rId199" Type="http://schemas.openxmlformats.org/officeDocument/2006/relationships/hyperlink" Target="https://rbi.org.in/Scripts/NotificationUser.aspx?Id=12416&amp;Mode=0" TargetMode="External"/><Relationship Id="rId203" Type="http://schemas.openxmlformats.org/officeDocument/2006/relationships/theme" Target="theme/theme1.xml"/><Relationship Id="rId19" Type="http://schemas.openxmlformats.org/officeDocument/2006/relationships/hyperlink" Target="https://www.rbi.org.in/Scripts/NotificationUser.aspx?Id=11303&amp;Mode=0" TargetMode="External"/><Relationship Id="rId14" Type="http://schemas.openxmlformats.org/officeDocument/2006/relationships/hyperlink" Target="https://rbi.org.in/Scripts/BS_ViewMasDirections.aspx?id=10394" TargetMode="External"/><Relationship Id="rId30" Type="http://schemas.openxmlformats.org/officeDocument/2006/relationships/hyperlink" Target="https://www.rbi.org.in/scripts/NotificationUser.aspx?Id=12360&amp;Mode=0" TargetMode="External"/><Relationship Id="rId35" Type="http://schemas.openxmlformats.org/officeDocument/2006/relationships/hyperlink" Target="https://www.rbi.org.in/Scripts/NotificationUser.aspx?Id=12159&amp;Mode=0" TargetMode="External"/><Relationship Id="rId56" Type="http://schemas.openxmlformats.org/officeDocument/2006/relationships/hyperlink" Target="https://www.rbi.org.in/scripts/NotificationUser.aspx?Id=12373&amp;Mode=0" TargetMode="External"/><Relationship Id="rId77" Type="http://schemas.openxmlformats.org/officeDocument/2006/relationships/hyperlink" Target="https://rbi.org.in/Scripts/NotificationUser.aspx?Id=12380&amp;Mode=0" TargetMode="External"/><Relationship Id="rId100" Type="http://schemas.openxmlformats.org/officeDocument/2006/relationships/hyperlink" Target="https://rbi.org.in/Scripts/NotificationUser.aspx?Id=12388&amp;Mode=0" TargetMode="External"/><Relationship Id="rId105" Type="http://schemas.openxmlformats.org/officeDocument/2006/relationships/hyperlink" Target="https://rbi.org.in/Scripts/NotificationUser.aspx?Id=12389&amp;Mode=0" TargetMode="External"/><Relationship Id="rId126" Type="http://schemas.openxmlformats.org/officeDocument/2006/relationships/hyperlink" Target="https://m.rbi.org.in/Scripts/BS_PressReleaseDisplay.aspx?prid=51382" TargetMode="External"/><Relationship Id="rId147" Type="http://schemas.openxmlformats.org/officeDocument/2006/relationships/hyperlink" Target="https://www.rbi.org.in/scripts/FS_Notification.aspx?Id=12407&amp;fn=2&amp;Mode=0" TargetMode="External"/><Relationship Id="rId168" Type="http://schemas.openxmlformats.org/officeDocument/2006/relationships/hyperlink" Target="https://m.rbi.org.in/Scripts/BS_PressReleaseDisplay.aspx?prid=52094" TargetMode="External"/><Relationship Id="rId8" Type="http://schemas.openxmlformats.org/officeDocument/2006/relationships/hyperlink" Target="https://www.rbi.org.in/Scripts/BS_ViewMasDirections.aspx?id=12156" TargetMode="External"/><Relationship Id="rId51" Type="http://schemas.openxmlformats.org/officeDocument/2006/relationships/hyperlink" Target="https://rbidocs.rbi.org.in/rdocs/content/pdfs/RBIOS2021_amendments05082022.pdf" TargetMode="External"/><Relationship Id="rId72" Type="http://schemas.openxmlformats.org/officeDocument/2006/relationships/hyperlink" Target="https://rbidocs.rbi.org.in/rdocs/content/pdfs/GazetteRegulations230822.pdf" TargetMode="External"/><Relationship Id="rId93" Type="http://schemas.openxmlformats.org/officeDocument/2006/relationships/hyperlink" Target="https://rbi.org.in/Scripts/NotificationUser.aspx?Id=8832&amp;Mode=0" TargetMode="External"/><Relationship Id="rId98" Type="http://schemas.openxmlformats.org/officeDocument/2006/relationships/hyperlink" Target="https://rbi.org.in/Scripts/BS_ViewMasDirections.aspx?id=10394" TargetMode="External"/><Relationship Id="rId121" Type="http://schemas.openxmlformats.org/officeDocument/2006/relationships/hyperlink" Target="https://m.rbi.org.in/Scripts/BS_ViewMasCirculardetails.aspx?id=12278" TargetMode="External"/><Relationship Id="rId142" Type="http://schemas.openxmlformats.org/officeDocument/2006/relationships/hyperlink" Target="https://rbi.org.in/Scripts/NotificationUser.aspx?Id=12402&amp;Mode=0" TargetMode="External"/><Relationship Id="rId163" Type="http://schemas.openxmlformats.org/officeDocument/2006/relationships/hyperlink" Target="https://rbi.org.in/Scripts/NotificationUser.aspx?Id=9526&amp;Mode=0" TargetMode="External"/><Relationship Id="rId184" Type="http://schemas.openxmlformats.org/officeDocument/2006/relationships/hyperlink" Target="https://m.rbi.org.in/Scripts/NotificationUser.aspx?Id=11226&amp;Mode=0" TargetMode="External"/><Relationship Id="rId189" Type="http://schemas.openxmlformats.org/officeDocument/2006/relationships/hyperlink" Target="https://www.rbi.org.in/Scripts/BS_ViewMasDirections.aspx?id=12427" TargetMode="External"/><Relationship Id="rId3" Type="http://schemas.openxmlformats.org/officeDocument/2006/relationships/settings" Target="settings.xml"/><Relationship Id="rId25" Type="http://schemas.openxmlformats.org/officeDocument/2006/relationships/hyperlink" Target="https://rbi.org.in/Scripts/BS_ViewMasDirections.aspx?id=11510" TargetMode="External"/><Relationship Id="rId46" Type="http://schemas.openxmlformats.org/officeDocument/2006/relationships/hyperlink" Target="https://m.rbi.org.in/scripts/BS_ViewMasCirculardetails.aspx?id=12367" TargetMode="External"/><Relationship Id="rId67" Type="http://schemas.openxmlformats.org/officeDocument/2006/relationships/hyperlink" Target="https://www.rbi.org.in/Scripts/NotificationUser.aspx?Id=12376&amp;Mode=0" TargetMode="External"/><Relationship Id="rId116" Type="http://schemas.openxmlformats.org/officeDocument/2006/relationships/hyperlink" Target="https://www.rbi.org.in/Scripts/NotificationUser.aspx?Id=11347&amp;Mode=0" TargetMode="External"/><Relationship Id="rId137" Type="http://schemas.openxmlformats.org/officeDocument/2006/relationships/hyperlink" Target="https://www.rbi.org.in/Scripts/BS_ViewMasDirections.aspx?id=12158" TargetMode="External"/><Relationship Id="rId158" Type="http://schemas.openxmlformats.org/officeDocument/2006/relationships/hyperlink" Target="https://www.rbi.org.in/scripts/NotificationUser.aspx?Id=12413&amp;Mode=0" TargetMode="External"/><Relationship Id="rId20" Type="http://schemas.openxmlformats.org/officeDocument/2006/relationships/hyperlink" Target="https://rbi.org.in/scripts/FS_Notification.aspx?Id=12355&amp;fn=6&amp;Mode=0" TargetMode="External"/><Relationship Id="rId41" Type="http://schemas.openxmlformats.org/officeDocument/2006/relationships/hyperlink" Target="https://www.rbi.org.in/scripts/NotificationUser.aspx?Id=12365&amp;Mode=0" TargetMode="External"/><Relationship Id="rId62" Type="http://schemas.openxmlformats.org/officeDocument/2006/relationships/hyperlink" Target="https://m.rbi.org.in/Scripts/NotificationUser.aspx?Id=11602&amp;Mode=0" TargetMode="External"/><Relationship Id="rId83" Type="http://schemas.openxmlformats.org/officeDocument/2006/relationships/hyperlink" Target="https://rbi.org.in/Scripts/BS_CircularIndexDisplay.aspx?Id=12382" TargetMode="External"/><Relationship Id="rId88" Type="http://schemas.openxmlformats.org/officeDocument/2006/relationships/hyperlink" Target="https://m.rbi.org.in/Scripts/BS_ViewMasCirculardetails.aspx?id=12278" TargetMode="External"/><Relationship Id="rId111" Type="http://schemas.openxmlformats.org/officeDocument/2006/relationships/hyperlink" Target="https://www.rbi.org.in/Scripts/NotificationUser.aspx?Id=12395&amp;Mode=0" TargetMode="External"/><Relationship Id="rId132" Type="http://schemas.openxmlformats.org/officeDocument/2006/relationships/hyperlink" Target="https://www.rbi.org.in/Scripts/BS_ViewMasDirections.aspx?id=10586" TargetMode="External"/><Relationship Id="rId153" Type="http://schemas.openxmlformats.org/officeDocument/2006/relationships/hyperlink" Target="https://www.rbi.org.in/Scripts/BS_ViewMasDirections.aspx?id=10598" TargetMode="External"/><Relationship Id="rId174" Type="http://schemas.openxmlformats.org/officeDocument/2006/relationships/hyperlink" Target="https://m.rbi.org.in/scripts/FS_Notification.aspx?Id=12417&amp;fn=14&amp;Mode=0" TargetMode="External"/><Relationship Id="rId179" Type="http://schemas.openxmlformats.org/officeDocument/2006/relationships/hyperlink" Target="https://rbi.org.in/Scripts/BS_PressReleaseDisplay.aspx?prid=54818" TargetMode="External"/><Relationship Id="rId195" Type="http://schemas.openxmlformats.org/officeDocument/2006/relationships/hyperlink" Target="https://m.rbi.org.in/Scripts/BS_PressReleaseDisplay.aspx?prid=47819" TargetMode="External"/><Relationship Id="rId190" Type="http://schemas.openxmlformats.org/officeDocument/2006/relationships/hyperlink" Target="https://m.rbi.org.in/Scripts/NotificationUser.aspx?Id=8968&amp;Mode=0" TargetMode="External"/><Relationship Id="rId15" Type="http://schemas.openxmlformats.org/officeDocument/2006/relationships/hyperlink" Target="https://rbi.org.in/Scripts/NotificationUser.aspx?Id=12350&amp;Mode=0" TargetMode="External"/><Relationship Id="rId36" Type="http://schemas.openxmlformats.org/officeDocument/2006/relationships/hyperlink" Target="https://www.rbi.org.in/Scripts/NotificationUser.aspx?Id=12211&amp;Mode=0" TargetMode="External"/><Relationship Id="rId57" Type="http://schemas.openxmlformats.org/officeDocument/2006/relationships/hyperlink" Target="https://www.rbi.org.in/scripts/NotificationUser.aspx?Id=12373&amp;Mode=0" TargetMode="External"/><Relationship Id="rId106" Type="http://schemas.openxmlformats.org/officeDocument/2006/relationships/hyperlink" Target="https://www.rbi.org.in/Scripts/BS_ViewMasDirections.aspx?id=10202" TargetMode="External"/><Relationship Id="rId127" Type="http://schemas.openxmlformats.org/officeDocument/2006/relationships/hyperlink" Target="https://m.rbi.org.in/Scripts/BS_PressReleaseDisplay.aspx?prid=51381" TargetMode="External"/><Relationship Id="rId10" Type="http://schemas.openxmlformats.org/officeDocument/2006/relationships/hyperlink" Target="https://www.rbi.org.in/Scripts/NotificationUser.aspx?Id=7286&amp;Mode=0" TargetMode="External"/><Relationship Id="rId31" Type="http://schemas.openxmlformats.org/officeDocument/2006/relationships/hyperlink" Target="https://www.rbi.org.in/Scripts/BS_ViewMasCirculardetails.aspx?id=12288" TargetMode="External"/><Relationship Id="rId52" Type="http://schemas.openxmlformats.org/officeDocument/2006/relationships/hyperlink" Target="https://www.rbi.org.in/Scripts/NotificationUser.aspx?Id=12371&amp;Mode=0" TargetMode="External"/><Relationship Id="rId73" Type="http://schemas.openxmlformats.org/officeDocument/2006/relationships/hyperlink" Target="https://rbidocs.rbi.org.in/rdocs/content/pdfs/GazetteRules23082022.pdf" TargetMode="External"/><Relationship Id="rId78" Type="http://schemas.openxmlformats.org/officeDocument/2006/relationships/hyperlink" Target="https://rbi.org.in/Scripts/NotificationUser.aspx?Id=2126&amp;Mode=0" TargetMode="External"/><Relationship Id="rId94" Type="http://schemas.openxmlformats.org/officeDocument/2006/relationships/hyperlink" Target="https://www.rbi.org.in/scripts/NotificationUser.aspx?Id=12386&amp;Mode=0" TargetMode="External"/><Relationship Id="rId99" Type="http://schemas.openxmlformats.org/officeDocument/2006/relationships/hyperlink" Target="https://rbi.org.in/Scripts/NotificationUser.aspx?Id=12388&amp;Mode=0" TargetMode="External"/><Relationship Id="rId101" Type="http://schemas.openxmlformats.org/officeDocument/2006/relationships/hyperlink" Target="https://rbi.org.in/Scripts/NotificationUser.aspx?Id=12389&amp;Mode=0" TargetMode="External"/><Relationship Id="rId122" Type="http://schemas.openxmlformats.org/officeDocument/2006/relationships/hyperlink" Target="https://m.rbi.org.in/Scripts/BS_ViewMasDirections.aspx?id=10567" TargetMode="External"/><Relationship Id="rId143" Type="http://schemas.openxmlformats.org/officeDocument/2006/relationships/hyperlink" Target="https://rbi.org.in/Scripts/NotificationUser.aspx?Id=12402&amp;Mode=0" TargetMode="External"/><Relationship Id="rId148" Type="http://schemas.openxmlformats.org/officeDocument/2006/relationships/hyperlink" Target="https://www.rbi.org.in/scripts/FS_Notification.aspx?Id=12407&amp;fn=2&amp;Mode=0" TargetMode="External"/><Relationship Id="rId164" Type="http://schemas.openxmlformats.org/officeDocument/2006/relationships/hyperlink" Target="https://www.rbi.org.in/Scripts/BS_PressReleaseDisplay.aspx?prid=54059" TargetMode="External"/><Relationship Id="rId169" Type="http://schemas.openxmlformats.org/officeDocument/2006/relationships/hyperlink" Target="https://m.rbi.org.in/Scripts/BS_PressReleaseDisplay.aspx?prid=54059" TargetMode="External"/><Relationship Id="rId185" Type="http://schemas.openxmlformats.org/officeDocument/2006/relationships/hyperlink" Target="https://m.rbi.org.in/Scripts/NotificationUser.aspx?Id=12428&amp;Mode=0" TargetMode="External"/><Relationship Id="rId4" Type="http://schemas.openxmlformats.org/officeDocument/2006/relationships/webSettings" Target="webSettings.xml"/><Relationship Id="rId9" Type="http://schemas.openxmlformats.org/officeDocument/2006/relationships/hyperlink" Target="https://rbi.org.in/Scripts/NotificationUser.aspx?Id=11822&amp;Mode=0" TargetMode="External"/><Relationship Id="rId180" Type="http://schemas.openxmlformats.org/officeDocument/2006/relationships/hyperlink" Target="https://rbi.org.in/Scripts/NotificationUser.aspx?Id=12153&amp;Mode=0" TargetMode="External"/><Relationship Id="rId26" Type="http://schemas.openxmlformats.org/officeDocument/2006/relationships/hyperlink" Target="https://www.rbi.org.in/scripts/NotificationUser.aspx?Id=12356&amp;Mode=0" TargetMode="External"/><Relationship Id="rId47" Type="http://schemas.openxmlformats.org/officeDocument/2006/relationships/hyperlink" Target="https://m.rbi.org.in/scripts/BS_ViewMasCirculardetails.aspx?id=12367" TargetMode="External"/><Relationship Id="rId68" Type="http://schemas.openxmlformats.org/officeDocument/2006/relationships/hyperlink" Target="https://rbi.org.in/scripts/FS_Notification.aspx?Id=12378&amp;fn=2&amp;Mode=0" TargetMode="External"/><Relationship Id="rId89" Type="http://schemas.openxmlformats.org/officeDocument/2006/relationships/hyperlink" Target="https://m.rbi.org.in/Scripts/BS_ViewMasCirculardetails.aspx?id=12278" TargetMode="External"/><Relationship Id="rId112" Type="http://schemas.openxmlformats.org/officeDocument/2006/relationships/hyperlink" Target="https://www.rbi.org.in/Scripts/BS_ViewMasCirculardetails.aspx?id=12278" TargetMode="External"/><Relationship Id="rId133" Type="http://schemas.openxmlformats.org/officeDocument/2006/relationships/hyperlink" Target="https://www.rbi.org.in/Scripts/NotificationUser.aspx?Id=12400&amp;Mode=0" TargetMode="External"/><Relationship Id="rId154" Type="http://schemas.openxmlformats.org/officeDocument/2006/relationships/hyperlink" Target="https://www.rbi.org.in/scripts/NotificationUser.aspx?Id=12412&amp;Mode=0" TargetMode="External"/><Relationship Id="rId175" Type="http://schemas.openxmlformats.org/officeDocument/2006/relationships/hyperlink" Target="https://m.rbi.org.in/Scripts/BS_PressReleaseDisplay.aspx?prid=54059" TargetMode="External"/><Relationship Id="rId196" Type="http://schemas.openxmlformats.org/officeDocument/2006/relationships/hyperlink" Target="https://prism.rbi.org.in/DAKSH/portal/" TargetMode="External"/><Relationship Id="rId200" Type="http://schemas.openxmlformats.org/officeDocument/2006/relationships/hyperlink" Target="https://rbi.org.in/Scripts/NotificationUser.aspx?Id=12336&amp;Mode=0" TargetMode="External"/><Relationship Id="rId16" Type="http://schemas.openxmlformats.org/officeDocument/2006/relationships/hyperlink" Target="https://www.rbi.org.in/scripts/NotificationUser.aspx?Id=12351&amp;Mode=0" TargetMode="External"/><Relationship Id="rId37" Type="http://schemas.openxmlformats.org/officeDocument/2006/relationships/hyperlink" Target="https://www.rbi.org.in/Scripts/NotificationUser.aspx?Id=12345&amp;Mode=0" TargetMode="External"/><Relationship Id="rId58" Type="http://schemas.openxmlformats.org/officeDocument/2006/relationships/hyperlink" Target="https://m.rbi.org.in/Scripts/BS_PressReleaseDisplay.aspx?prid=54149" TargetMode="External"/><Relationship Id="rId79" Type="http://schemas.openxmlformats.org/officeDocument/2006/relationships/hyperlink" Target="https://rbi.org.in/Scripts/NotificationUser.aspx?Id=10257&amp;Mode=0" TargetMode="External"/><Relationship Id="rId102" Type="http://schemas.openxmlformats.org/officeDocument/2006/relationships/hyperlink" Target="https://rbi.org.in/Scripts/NotificationUser.aspx?Id=12389&amp;Mode=0" TargetMode="External"/><Relationship Id="rId123" Type="http://schemas.openxmlformats.org/officeDocument/2006/relationships/hyperlink" Target="https://m.rbi.org.in/Scripts/BS_ViewMasDirections.aspx?id=10485" TargetMode="External"/><Relationship Id="rId144" Type="http://schemas.openxmlformats.org/officeDocument/2006/relationships/hyperlink" Target="https://www.rbi.org.in/Scripts/BS_ViewMasDirections.aspx?id=12131" TargetMode="External"/><Relationship Id="rId90" Type="http://schemas.openxmlformats.org/officeDocument/2006/relationships/hyperlink" Target="https://m.rbi.org.in/scripts/FS_Notification.aspx?Id=12384&amp;fn=2&amp;Mode=0" TargetMode="External"/><Relationship Id="rId165" Type="http://schemas.openxmlformats.org/officeDocument/2006/relationships/hyperlink" Target="https://www.rbi.org.in/Scripts/BS_PressReleaseDisplay.aspx?prid=52094" TargetMode="External"/><Relationship Id="rId186" Type="http://schemas.openxmlformats.org/officeDocument/2006/relationships/hyperlink" Target="https://m.rbi.org.in/scripts/FS_Notification.aspx?Id=12423&amp;fn=6&amp;Mode=0" TargetMode="External"/><Relationship Id="rId27" Type="http://schemas.openxmlformats.org/officeDocument/2006/relationships/hyperlink" Target="https://rbi.org.in/Scripts/NotificationUser.aspx?Id=12358&amp;Mode=0" TargetMode="External"/><Relationship Id="rId48" Type="http://schemas.openxmlformats.org/officeDocument/2006/relationships/hyperlink" Target="https://www.rbi.org.in/Scripts/BS_ViewMasDirections.aspx?id=10084" TargetMode="External"/><Relationship Id="rId69" Type="http://schemas.openxmlformats.org/officeDocument/2006/relationships/hyperlink" Target="https://rbi.org.in/scripts/FS_Notification.aspx?Id=12378&amp;fn=2&amp;Mode=0" TargetMode="External"/><Relationship Id="rId113" Type="http://schemas.openxmlformats.org/officeDocument/2006/relationships/hyperlink" Target="https://www.rbi.org.in/Scripts/NotificationUser.aspx?Id=12396&amp;Mode=0" TargetMode="External"/><Relationship Id="rId134" Type="http://schemas.openxmlformats.org/officeDocument/2006/relationships/hyperlink" Target="https://www.rbi.org.in/Scripts/NotificationUser.aspx?Id=12400&amp;Mode=0" TargetMode="External"/><Relationship Id="rId80" Type="http://schemas.openxmlformats.org/officeDocument/2006/relationships/hyperlink" Target="https://www.rbi.org.in/scripts/NotificationUser.aspx?Id=12381&amp;Mode=0" TargetMode="External"/><Relationship Id="rId155" Type="http://schemas.openxmlformats.org/officeDocument/2006/relationships/hyperlink" Target="https://www.rbi.org.in/scripts/NotificationUser.aspx?Id=12412&amp;Mode=0" TargetMode="External"/><Relationship Id="rId176" Type="http://schemas.openxmlformats.org/officeDocument/2006/relationships/hyperlink" Target="https://m.rbi.org.in/Scripts/NotificationUser.aspx?Id=12416&amp;Mode=0" TargetMode="External"/><Relationship Id="rId197" Type="http://schemas.openxmlformats.org/officeDocument/2006/relationships/hyperlink" Target="https://m.rbi.org.in/scripts/FS_Notification.aspx?Id=12431&amp;fn=9&amp;Mode=0" TargetMode="External"/><Relationship Id="rId201" Type="http://schemas.openxmlformats.org/officeDocument/2006/relationships/hyperlink" Target="https://www.rbi.org.in/Scripts/BS_CircularIndexDisplay.aspx?Id=12432" TargetMode="External"/><Relationship Id="rId17" Type="http://schemas.openxmlformats.org/officeDocument/2006/relationships/hyperlink" Target="https://www.rbi.org.in/Scripts/BS_PressReleaseDisplay.aspx?prid=53979" TargetMode="External"/><Relationship Id="rId38" Type="http://schemas.openxmlformats.org/officeDocument/2006/relationships/hyperlink" Target="https://www.rbi.org.in/scripts/BS_CircularIndexDisplay.aspx?Id=12363" TargetMode="External"/><Relationship Id="rId59" Type="http://schemas.openxmlformats.org/officeDocument/2006/relationships/hyperlink" Target="https://m.rbi.org.in/Scripts/BS_PressReleaseDisplay.aspx?prid=54148" TargetMode="External"/><Relationship Id="rId103" Type="http://schemas.openxmlformats.org/officeDocument/2006/relationships/hyperlink" Target="https://rbi.org.in/Scripts/NotificationUser.aspx?Id=12389&amp;Mode=0" TargetMode="External"/><Relationship Id="rId124" Type="http://schemas.openxmlformats.org/officeDocument/2006/relationships/hyperlink" Target="https://m.rbi.org.in/Scripts/BS_ViewMasDirections.aspx?id=10567" TargetMode="External"/><Relationship Id="rId70" Type="http://schemas.openxmlformats.org/officeDocument/2006/relationships/hyperlink" Target="https://www.rbi.org.in/Scripts/BS_ViewMasDirections.aspx?id=12256" TargetMode="External"/><Relationship Id="rId91" Type="http://schemas.openxmlformats.org/officeDocument/2006/relationships/hyperlink" Target="https://www.rbi.org.in/Scripts/NotificationUser.aspx?Id=8832&amp;Mode=0" TargetMode="External"/><Relationship Id="rId145" Type="http://schemas.openxmlformats.org/officeDocument/2006/relationships/hyperlink" Target="https://www.rbi.org.in/scripts/FS_Notification.aspx?Id=12403&amp;fn=2&amp;Mode=0" TargetMode="External"/><Relationship Id="rId166" Type="http://schemas.openxmlformats.org/officeDocument/2006/relationships/hyperlink" Target="https://www.rbi.org.in/Scripts/NotificationUser.aspx?Id=12415&amp;Mode=0" TargetMode="External"/><Relationship Id="rId187" Type="http://schemas.openxmlformats.org/officeDocument/2006/relationships/hyperlink" Target="https://rbi.org.in/Scripts/NotificationUser.aspx?Id=179&amp;Mode=0" TargetMode="External"/><Relationship Id="rId1" Type="http://schemas.openxmlformats.org/officeDocument/2006/relationships/numbering" Target="numbering.xml"/><Relationship Id="rId28" Type="http://schemas.openxmlformats.org/officeDocument/2006/relationships/hyperlink" Target="https://www.rbi.org.in/Scripts/BS_ViewMasCirculardetails.aspx?id=12062" TargetMode="External"/><Relationship Id="rId49" Type="http://schemas.openxmlformats.org/officeDocument/2006/relationships/hyperlink" Target="https://www.rbi.org.in/scripts/NotificationUser.aspx?Id=12368&amp;Mode=0" TargetMode="External"/><Relationship Id="rId114" Type="http://schemas.openxmlformats.org/officeDocument/2006/relationships/hyperlink" Target="https://www.rbi.org.in/Scripts/NotificationUser.aspx?Id=11347&amp;Mode=0" TargetMode="External"/><Relationship Id="rId60" Type="http://schemas.openxmlformats.org/officeDocument/2006/relationships/hyperlink" Target="https://m.rbi.org.in/Scripts/NotificationUser.aspx?Id=11602&amp;Mode=0" TargetMode="External"/><Relationship Id="rId81" Type="http://schemas.openxmlformats.org/officeDocument/2006/relationships/hyperlink" Target="https://www.rbi.org.in/Scripts/BS_PressReleaseDisplay.aspx?prid=54187" TargetMode="External"/><Relationship Id="rId135" Type="http://schemas.openxmlformats.org/officeDocument/2006/relationships/hyperlink" Target="https://www.rbi.org.in/Scripts/NotificationUser.aspx?Id=12400&amp;Mode=0" TargetMode="External"/><Relationship Id="rId156" Type="http://schemas.openxmlformats.org/officeDocument/2006/relationships/hyperlink" Target="https://www.rbi.org.in/Scripts/NotificationUser.aspx?Id=8934&amp;Mode=0" TargetMode="External"/><Relationship Id="rId177" Type="http://schemas.openxmlformats.org/officeDocument/2006/relationships/hyperlink" Target="https://m.rbi.org.in/scripts/FS_Notification.aspx?Id=12418&amp;fn=2755&amp;Mode=0" TargetMode="External"/><Relationship Id="rId198" Type="http://schemas.openxmlformats.org/officeDocument/2006/relationships/hyperlink" Target="https://m.rbi.org.in/scripts/FS_Notification.aspx?Id=12431&amp;fn=9&amp;Mode=0" TargetMode="External"/><Relationship Id="rId202" Type="http://schemas.openxmlformats.org/officeDocument/2006/relationships/fontTable" Target="fontTable.xml"/><Relationship Id="rId18" Type="http://schemas.openxmlformats.org/officeDocument/2006/relationships/hyperlink" Target="https://www.rbi.org.in/Scripts/NotificationUser.aspx?Id=12099&amp;Mode=0" TargetMode="External"/><Relationship Id="rId39" Type="http://schemas.openxmlformats.org/officeDocument/2006/relationships/hyperlink" Target="https://www.rbi.org.in/scripts/FS_Notification.aspx?Id=12377&amp;fn=5&amp;Mode=0" TargetMode="External"/><Relationship Id="rId50" Type="http://schemas.openxmlformats.org/officeDocument/2006/relationships/hyperlink" Target="https://www.rbi.org.in/Scripts/NotificationUser.aspx?Id=12192&amp;Mode=0" TargetMode="External"/><Relationship Id="rId104" Type="http://schemas.openxmlformats.org/officeDocument/2006/relationships/hyperlink" Target="https://rbi.org.in/Scripts/NotificationUser.aspx?Id=12389&amp;Mode=0" TargetMode="External"/><Relationship Id="rId125" Type="http://schemas.openxmlformats.org/officeDocument/2006/relationships/hyperlink" Target="https://m.rbi.org.in/scripts/FS_Notification.aspx?Id=12398&amp;fn=6&amp;Mode=0" TargetMode="External"/><Relationship Id="rId146" Type="http://schemas.openxmlformats.org/officeDocument/2006/relationships/hyperlink" Target="https://rbi.org.in/Scripts/NotificationUser.aspx?Id=10128&amp;Mode=0" TargetMode="External"/><Relationship Id="rId167" Type="http://schemas.openxmlformats.org/officeDocument/2006/relationships/hyperlink" Target="https://www.rbi.org.in/Scripts/NotificationUser.aspx?Id=12415&amp;Mode=0" TargetMode="External"/><Relationship Id="rId188" Type="http://schemas.openxmlformats.org/officeDocument/2006/relationships/hyperlink" Target="https://www.rbi.org.in/Scripts/BS_ViewMasDirections.aspx?id=12427" TargetMode="External"/><Relationship Id="rId71" Type="http://schemas.openxmlformats.org/officeDocument/2006/relationships/hyperlink" Target="https://rbi.org.in/scripts/FS_Notification.aspx?Id=12378&amp;fn=2&amp;Mode=0" TargetMode="External"/><Relationship Id="rId92" Type="http://schemas.openxmlformats.org/officeDocument/2006/relationships/hyperlink" Target="https://rbi.org.in/Scripts/BS_PressReleaseDisplay.aspx?prid=5414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59</Pages>
  <Words>19618</Words>
  <Characters>111826</Characters>
  <Application>Microsoft Office Word</Application>
  <DocSecurity>0</DocSecurity>
  <Lines>931</Lines>
  <Paragraphs>262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Shubhrika Srivastava</dc:creator>
  <cp:keywords/>
  <dc:description/>
  <cp:lastModifiedBy>soumya P</cp:lastModifiedBy>
  <cp:revision>2</cp:revision>
  <dcterms:created xsi:type="dcterms:W3CDTF">2023-03-06T07:37:00Z</dcterms:created>
  <dcterms:modified xsi:type="dcterms:W3CDTF">2023-03-06T07:37:00Z</dcterms:modified>
</cp:coreProperties>
</file>